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F3241" w14:textId="77777777" w:rsidR="00966156" w:rsidRDefault="000809B0" w:rsidP="00966156">
      <w:pPr>
        <w:tabs>
          <w:tab w:val="left" w:pos="2346"/>
        </w:tabs>
        <w:spacing w:before="240"/>
        <w:rPr>
          <w:b/>
          <w:u w:val="single"/>
          <w:lang w:val="el-GR"/>
        </w:rPr>
      </w:pPr>
    </w:p>
    <w:p w14:paraId="1EA7B6AA" w14:textId="77777777" w:rsidR="00966156" w:rsidRDefault="000809B0" w:rsidP="00966156">
      <w:pPr>
        <w:tabs>
          <w:tab w:val="left" w:pos="2346"/>
        </w:tabs>
        <w:spacing w:before="240"/>
        <w:rPr>
          <w:b/>
          <w:u w:val="single"/>
          <w:lang w:val="el-GR"/>
        </w:rPr>
      </w:pPr>
    </w:p>
    <w:p w14:paraId="23176370" w14:textId="77777777" w:rsidR="00966156" w:rsidRDefault="000809B0" w:rsidP="00966156">
      <w:pPr>
        <w:tabs>
          <w:tab w:val="left" w:pos="2346"/>
        </w:tabs>
        <w:spacing w:before="240"/>
        <w:rPr>
          <w:b/>
          <w:u w:val="single"/>
          <w:lang w:val="el-GR"/>
        </w:rPr>
      </w:pPr>
    </w:p>
    <w:p w14:paraId="534E84B2" w14:textId="77777777" w:rsidR="00966156" w:rsidRDefault="000809B0" w:rsidP="00966156">
      <w:pPr>
        <w:tabs>
          <w:tab w:val="left" w:pos="2346"/>
        </w:tabs>
        <w:spacing w:before="240"/>
        <w:rPr>
          <w:b/>
          <w:u w:val="single"/>
          <w:lang w:val="el-GR"/>
        </w:rPr>
      </w:pPr>
    </w:p>
    <w:p w14:paraId="064585AC" w14:textId="77777777" w:rsidR="00966156" w:rsidRPr="00966156" w:rsidRDefault="000809B0" w:rsidP="00966156">
      <w:pPr>
        <w:tabs>
          <w:tab w:val="left" w:pos="2346"/>
        </w:tabs>
        <w:spacing w:before="240"/>
        <w:jc w:val="center"/>
        <w:rPr>
          <w:rFonts w:ascii="Arial" w:hAnsi="Arial" w:cs="Arial"/>
          <w:b/>
          <w:u w:val="single"/>
          <w:lang w:val="el-GR"/>
        </w:rPr>
      </w:pPr>
      <w:r w:rsidRPr="00966156">
        <w:rPr>
          <w:rFonts w:ascii="Arial" w:hAnsi="Arial" w:cs="Arial"/>
          <w:b/>
          <w:u w:val="single"/>
          <w:lang w:val="ro-RO"/>
        </w:rPr>
        <w:t>Impacturi</w:t>
      </w:r>
    </w:p>
    <w:p w14:paraId="3425C544" w14:textId="77777777" w:rsidR="00966156" w:rsidRPr="00966156" w:rsidRDefault="000809B0" w:rsidP="00966156">
      <w:pPr>
        <w:tabs>
          <w:tab w:val="left" w:pos="2346"/>
        </w:tabs>
        <w:spacing w:before="240"/>
        <w:rPr>
          <w:rFonts w:ascii="Arial" w:hAnsi="Arial" w:cs="Arial"/>
          <w:lang w:val="el-GR"/>
        </w:rPr>
      </w:pPr>
      <w:r w:rsidRPr="00966156">
        <w:rPr>
          <w:rFonts w:ascii="Arial" w:hAnsi="Arial" w:cs="Arial"/>
          <w:lang w:val="ro-RO"/>
        </w:rPr>
        <w:t xml:space="preserve">Impactul creșterii utilizării energiei obținute din hidrogen poate fi evaluat în două moduri.   Implicațiile imediate și vizibile și schimbările pe termen mai lung.  Deja există modificări vizibile la infrastructură, iar tehnologiile se </w:t>
      </w:r>
      <w:r w:rsidRPr="00966156">
        <w:rPr>
          <w:rFonts w:ascii="Arial" w:hAnsi="Arial" w:cs="Arial"/>
          <w:lang w:val="ro-RO"/>
        </w:rPr>
        <w:t>dezvoltă, însă factorii de mediu și socio-economici, precum și impactul asupra importurilor de petrol și emisiile de CO</w:t>
      </w:r>
      <w:r w:rsidRPr="00966156">
        <w:rPr>
          <w:rFonts w:ascii="Arial" w:hAnsi="Arial" w:cs="Arial"/>
          <w:vertAlign w:val="subscript"/>
          <w:lang w:val="ro-RO"/>
        </w:rPr>
        <w:t xml:space="preserve">2 </w:t>
      </w:r>
      <w:r w:rsidRPr="00966156">
        <w:rPr>
          <w:rFonts w:ascii="Arial" w:hAnsi="Arial" w:cs="Arial"/>
          <w:lang w:val="ro-RO"/>
        </w:rPr>
        <w:t xml:space="preserve"> vor putea fi observate numai în timp.   </w:t>
      </w:r>
    </w:p>
    <w:p w14:paraId="280D9ADF" w14:textId="77777777" w:rsidR="00966156" w:rsidRPr="00966156" w:rsidRDefault="000809B0" w:rsidP="00966156">
      <w:pPr>
        <w:tabs>
          <w:tab w:val="left" w:pos="2346"/>
        </w:tabs>
        <w:spacing w:before="240"/>
        <w:rPr>
          <w:rFonts w:ascii="Arial" w:hAnsi="Arial" w:cs="Arial"/>
          <w:lang w:val="el-GR"/>
        </w:rPr>
      </w:pPr>
      <w:r w:rsidRPr="00966156">
        <w:rPr>
          <w:rFonts w:ascii="Arial" w:hAnsi="Arial" w:cs="Arial"/>
          <w:lang w:val="ro-RO"/>
        </w:rPr>
        <w:t>Scopul final este de a construi o societate sustenabilă, care utilizează hidrogenul verde, re</w:t>
      </w:r>
      <w:r>
        <w:rPr>
          <w:rFonts w:ascii="Arial" w:hAnsi="Arial" w:cs="Arial"/>
          <w:lang w:val="ro-RO"/>
        </w:rPr>
        <w:t xml:space="preserve">generabil.  </w:t>
      </w:r>
      <w:r w:rsidRPr="00966156">
        <w:rPr>
          <w:rFonts w:ascii="Arial" w:hAnsi="Arial" w:cs="Arial"/>
          <w:lang w:val="ro-RO"/>
        </w:rPr>
        <w:t>Impactul acestuia a</w:t>
      </w:r>
      <w:r>
        <w:rPr>
          <w:rFonts w:ascii="Arial" w:hAnsi="Arial" w:cs="Arial"/>
          <w:lang w:val="ro-RO"/>
        </w:rPr>
        <w:t>supra vieții cotidiene se referă la</w:t>
      </w:r>
      <w:bookmarkStart w:id="0" w:name="_GoBack"/>
      <w:bookmarkEnd w:id="0"/>
      <w:r>
        <w:rPr>
          <w:rFonts w:ascii="Arial" w:hAnsi="Arial" w:cs="Arial"/>
          <w:lang w:val="ro-RO"/>
        </w:rPr>
        <w:t>:</w:t>
      </w:r>
    </w:p>
    <w:p w14:paraId="2CFB1655" w14:textId="77777777" w:rsidR="00966156" w:rsidRPr="00966156" w:rsidRDefault="000809B0" w:rsidP="00966156">
      <w:pPr>
        <w:numPr>
          <w:ilvl w:val="0"/>
          <w:numId w:val="1"/>
        </w:numPr>
        <w:tabs>
          <w:tab w:val="left" w:pos="2346"/>
        </w:tabs>
        <w:spacing w:before="240"/>
        <w:rPr>
          <w:rFonts w:ascii="Arial" w:hAnsi="Arial" w:cs="Arial"/>
          <w:lang w:val="en-GB"/>
        </w:rPr>
      </w:pPr>
      <w:r w:rsidRPr="00966156">
        <w:rPr>
          <w:rFonts w:ascii="Arial" w:hAnsi="Arial" w:cs="Arial"/>
          <w:lang w:val="ro-RO"/>
        </w:rPr>
        <w:t xml:space="preserve">Vehicule mai curate, care nu mai depind de fluctuațiile prețului petrolului.   </w:t>
      </w:r>
    </w:p>
    <w:p w14:paraId="379492FF" w14:textId="77777777" w:rsidR="00966156" w:rsidRPr="00966156" w:rsidRDefault="000809B0" w:rsidP="00966156">
      <w:pPr>
        <w:numPr>
          <w:ilvl w:val="0"/>
          <w:numId w:val="1"/>
        </w:numPr>
        <w:tabs>
          <w:tab w:val="left" w:pos="2346"/>
        </w:tabs>
        <w:spacing w:before="240"/>
        <w:rPr>
          <w:rFonts w:ascii="Arial" w:hAnsi="Arial" w:cs="Arial"/>
          <w:lang w:val="en-GB"/>
        </w:rPr>
      </w:pPr>
      <w:r w:rsidRPr="00966156">
        <w:rPr>
          <w:rFonts w:ascii="Arial" w:hAnsi="Arial" w:cs="Arial"/>
          <w:lang w:val="ro-RO"/>
        </w:rPr>
        <w:t>Energie electrică mai sigură pentru locuințe și clădiri.  Din hidrogenul stocat disponibil se poate produce ele</w:t>
      </w:r>
      <w:r w:rsidRPr="00966156">
        <w:rPr>
          <w:rFonts w:ascii="Arial" w:hAnsi="Arial" w:cs="Arial"/>
          <w:lang w:val="ro-RO"/>
        </w:rPr>
        <w:t xml:space="preserve">ctricitatea necesară în  perioadele de cerere de vârf. </w:t>
      </w:r>
    </w:p>
    <w:p w14:paraId="59D80B7D" w14:textId="77777777" w:rsidR="00966156" w:rsidRPr="00966156" w:rsidRDefault="000809B0" w:rsidP="00966156">
      <w:pPr>
        <w:numPr>
          <w:ilvl w:val="0"/>
          <w:numId w:val="1"/>
        </w:numPr>
        <w:tabs>
          <w:tab w:val="left" w:pos="2346"/>
        </w:tabs>
        <w:spacing w:before="240"/>
        <w:rPr>
          <w:rFonts w:ascii="Arial" w:hAnsi="Arial" w:cs="Arial"/>
          <w:lang w:val="en-GB"/>
        </w:rPr>
      </w:pPr>
      <w:r w:rsidRPr="00966156">
        <w:rPr>
          <w:rFonts w:ascii="Arial" w:hAnsi="Arial" w:cs="Arial"/>
          <w:lang w:val="ro-RO"/>
        </w:rPr>
        <w:t xml:space="preserve">Încărcarea, astfel cum o cunoaștem, schimbând și asigurând o conectivitate mobilă mai mare. </w:t>
      </w:r>
    </w:p>
    <w:p w14:paraId="503DA5DB" w14:textId="77777777" w:rsidR="00966156" w:rsidRPr="00966156" w:rsidRDefault="000809B0" w:rsidP="00966156">
      <w:pPr>
        <w:numPr>
          <w:ilvl w:val="0"/>
          <w:numId w:val="1"/>
        </w:numPr>
        <w:tabs>
          <w:tab w:val="left" w:pos="2346"/>
        </w:tabs>
        <w:spacing w:before="240"/>
        <w:rPr>
          <w:rFonts w:ascii="Arial" w:hAnsi="Arial" w:cs="Arial"/>
          <w:lang w:val="en-GB"/>
        </w:rPr>
      </w:pPr>
      <w:r w:rsidRPr="00966156">
        <w:rPr>
          <w:rFonts w:ascii="Arial" w:hAnsi="Arial" w:cs="Arial"/>
          <w:lang w:val="ro-RO"/>
        </w:rPr>
        <w:t>Construind o punte între combustibilii fosili și sursele de energie regenerabilă.   Integrarea pilelor de c</w:t>
      </w:r>
      <w:r w:rsidRPr="00966156">
        <w:rPr>
          <w:rFonts w:ascii="Arial" w:hAnsi="Arial" w:cs="Arial"/>
          <w:lang w:val="ro-RO"/>
        </w:rPr>
        <w:t>ombustie cu hidrogen în infrastructura aferentă combustibililor fosili existentă, ceea ce va face ca energia generată de pilele de combustie cu hidrogen să fie imediat viabilă.</w:t>
      </w:r>
    </w:p>
    <w:p w14:paraId="6810AE87" w14:textId="77777777" w:rsidR="00966156" w:rsidRPr="00966156" w:rsidRDefault="000809B0" w:rsidP="00966156">
      <w:pPr>
        <w:numPr>
          <w:ilvl w:val="0"/>
          <w:numId w:val="1"/>
        </w:numPr>
        <w:tabs>
          <w:tab w:val="left" w:pos="2346"/>
        </w:tabs>
        <w:spacing w:before="240"/>
        <w:rPr>
          <w:rFonts w:ascii="Arial" w:hAnsi="Arial" w:cs="Arial"/>
          <w:lang w:val="en-GB"/>
        </w:rPr>
      </w:pPr>
      <w:r w:rsidRPr="00966156">
        <w:rPr>
          <w:rFonts w:ascii="Arial" w:hAnsi="Arial" w:cs="Arial"/>
          <w:lang w:val="ro-RO"/>
        </w:rPr>
        <w:t>Energia electrică distribuită va deveni mai accesibilă și mai independentă de r</w:t>
      </w:r>
      <w:r w:rsidRPr="00966156">
        <w:rPr>
          <w:rFonts w:ascii="Arial" w:hAnsi="Arial" w:cs="Arial"/>
          <w:lang w:val="ro-RO"/>
        </w:rPr>
        <w:t xml:space="preserve">ețea și un scenariu prin care devenim, în cele din urmă, producători independenți de energie proprie. </w:t>
      </w:r>
    </w:p>
    <w:p w14:paraId="6304676E" w14:textId="77777777" w:rsidR="00966156" w:rsidRPr="00966156" w:rsidRDefault="000809B0" w:rsidP="00966156">
      <w:pPr>
        <w:tabs>
          <w:tab w:val="left" w:pos="2346"/>
        </w:tabs>
        <w:spacing w:before="240"/>
        <w:rPr>
          <w:rFonts w:ascii="Arial" w:hAnsi="Arial" w:cs="Arial"/>
          <w:lang w:val="el-GR"/>
        </w:rPr>
      </w:pPr>
      <w:r w:rsidRPr="00966156">
        <w:rPr>
          <w:rFonts w:ascii="Arial" w:hAnsi="Arial" w:cs="Arial"/>
          <w:lang w:val="ro-RO"/>
        </w:rPr>
        <w:t>Îmbunătățirea pilelor de combustie poate în curând să asigure energia necesară echipamentelor auxiliare de la bordul avioanelor.   Pot fi utilizate la m</w:t>
      </w:r>
      <w:r w:rsidRPr="00966156">
        <w:rPr>
          <w:rFonts w:ascii="Arial" w:hAnsi="Arial" w:cs="Arial"/>
          <w:lang w:val="ro-RO"/>
        </w:rPr>
        <w:t>așini, complexe energetice și aparate electronice personale.   Dezvoltarea pilelor de combustie pentru avioane fără emisii, Stația Spațială Internațională, vehicule de lansare reutilizabile, un avion pentru Marte și o navă spațială modernizată, precum și s</w:t>
      </w:r>
      <w:r w:rsidRPr="00966156">
        <w:rPr>
          <w:rFonts w:ascii="Arial" w:hAnsi="Arial" w:cs="Arial"/>
          <w:lang w:val="ro-RO"/>
        </w:rPr>
        <w:t>isteme pentru producerea și stocarea energiei pe Lună și pe Marte va permite noi misiuni spațiale de explorare, economie de combustibil și reducerea emisiilor de la avioane.   Programele de cercetare a pilelor de combustie pot duce la noi capacități de zbo</w:t>
      </w:r>
      <w:r w:rsidRPr="00966156">
        <w:rPr>
          <w:rFonts w:ascii="Arial" w:hAnsi="Arial" w:cs="Arial"/>
          <w:lang w:val="ro-RO"/>
        </w:rPr>
        <w:t xml:space="preserve">r, energie electrică pentru explorare pe termen lung, dincolo de orbita Pământului, automobile și camioane mai eficiente și un mediu mai curat. </w:t>
      </w:r>
    </w:p>
    <w:p w14:paraId="3B00C080" w14:textId="77777777" w:rsidR="00966156" w:rsidRDefault="000809B0" w:rsidP="00966156">
      <w:pPr>
        <w:tabs>
          <w:tab w:val="left" w:pos="2346"/>
        </w:tabs>
        <w:spacing w:before="240"/>
        <w:rPr>
          <w:rFonts w:ascii="Arial" w:hAnsi="Arial" w:cs="Arial"/>
          <w:lang w:val="el-GR"/>
        </w:rPr>
      </w:pPr>
    </w:p>
    <w:p w14:paraId="26E5CAAA" w14:textId="77777777" w:rsidR="00966156" w:rsidRDefault="000809B0" w:rsidP="00966156">
      <w:pPr>
        <w:tabs>
          <w:tab w:val="left" w:pos="2346"/>
        </w:tabs>
        <w:spacing w:before="240"/>
        <w:rPr>
          <w:rFonts w:ascii="Arial" w:hAnsi="Arial" w:cs="Arial"/>
          <w:lang w:val="el-GR"/>
        </w:rPr>
      </w:pPr>
    </w:p>
    <w:p w14:paraId="589C9F44" w14:textId="77777777" w:rsidR="00966156" w:rsidRDefault="000809B0" w:rsidP="00966156">
      <w:pPr>
        <w:tabs>
          <w:tab w:val="left" w:pos="2346"/>
        </w:tabs>
        <w:spacing w:before="240"/>
        <w:rPr>
          <w:rFonts w:ascii="Arial" w:hAnsi="Arial" w:cs="Arial"/>
          <w:lang w:val="el-GR"/>
        </w:rPr>
      </w:pPr>
    </w:p>
    <w:p w14:paraId="0B96E6CC" w14:textId="77777777" w:rsidR="00966156" w:rsidRDefault="000809B0" w:rsidP="00966156">
      <w:pPr>
        <w:tabs>
          <w:tab w:val="left" w:pos="2346"/>
        </w:tabs>
        <w:spacing w:before="240"/>
        <w:rPr>
          <w:rFonts w:ascii="Arial" w:hAnsi="Arial" w:cs="Arial"/>
          <w:lang w:val="el-GR"/>
        </w:rPr>
      </w:pPr>
    </w:p>
    <w:p w14:paraId="3720D396" w14:textId="77777777" w:rsidR="00966156" w:rsidRDefault="000809B0" w:rsidP="00966156">
      <w:pPr>
        <w:tabs>
          <w:tab w:val="left" w:pos="2346"/>
        </w:tabs>
        <w:spacing w:before="240"/>
        <w:rPr>
          <w:rFonts w:ascii="Arial" w:hAnsi="Arial" w:cs="Arial"/>
          <w:lang w:val="el-GR"/>
        </w:rPr>
      </w:pPr>
    </w:p>
    <w:p w14:paraId="0161F32B" w14:textId="77777777" w:rsidR="00966156" w:rsidRDefault="000809B0" w:rsidP="00966156">
      <w:pPr>
        <w:tabs>
          <w:tab w:val="left" w:pos="2346"/>
        </w:tabs>
        <w:spacing w:before="240"/>
        <w:rPr>
          <w:rFonts w:ascii="Arial" w:hAnsi="Arial" w:cs="Arial"/>
          <w:lang w:val="el-GR"/>
        </w:rPr>
      </w:pPr>
    </w:p>
    <w:p w14:paraId="25BA6BA6" w14:textId="77777777" w:rsidR="00966156" w:rsidRDefault="000809B0" w:rsidP="00966156">
      <w:pPr>
        <w:tabs>
          <w:tab w:val="left" w:pos="2346"/>
        </w:tabs>
        <w:spacing w:before="240"/>
        <w:rPr>
          <w:rFonts w:ascii="Arial" w:hAnsi="Arial" w:cs="Arial"/>
          <w:lang w:val="el-GR"/>
        </w:rPr>
      </w:pPr>
    </w:p>
    <w:p w14:paraId="7BC08D87" w14:textId="77777777" w:rsidR="00966156" w:rsidRDefault="000809B0" w:rsidP="00966156">
      <w:pPr>
        <w:tabs>
          <w:tab w:val="left" w:pos="2346"/>
        </w:tabs>
        <w:spacing w:before="240"/>
        <w:rPr>
          <w:rFonts w:ascii="Arial" w:hAnsi="Arial" w:cs="Arial"/>
          <w:lang w:val="el-GR"/>
        </w:rPr>
      </w:pPr>
    </w:p>
    <w:p w14:paraId="250271AA" w14:textId="77777777" w:rsidR="00966156" w:rsidRPr="00966156" w:rsidRDefault="000809B0" w:rsidP="00966156">
      <w:pPr>
        <w:tabs>
          <w:tab w:val="left" w:pos="2346"/>
        </w:tabs>
        <w:spacing w:before="240"/>
        <w:rPr>
          <w:rFonts w:ascii="Arial" w:hAnsi="Arial" w:cs="Arial"/>
          <w:lang w:val="el-GR"/>
        </w:rPr>
      </w:pPr>
      <w:r w:rsidRPr="00966156">
        <w:rPr>
          <w:rFonts w:ascii="Arial" w:hAnsi="Arial" w:cs="Arial"/>
          <w:lang w:val="ro-RO"/>
        </w:rPr>
        <w:t>Impactul poate fi, de asemenea, măsurat din perspectiva progresului înregistrat în privința următoarelo</w:t>
      </w:r>
      <w:r w:rsidRPr="00966156">
        <w:rPr>
          <w:rFonts w:ascii="Arial" w:hAnsi="Arial" w:cs="Arial"/>
          <w:lang w:val="ro-RO"/>
        </w:rPr>
        <w:t>r obiective globale ale UN.</w:t>
      </w:r>
    </w:p>
    <w:p w14:paraId="69CF3B21" w14:textId="77777777" w:rsidR="00966156" w:rsidRPr="00966156" w:rsidRDefault="000809B0" w:rsidP="00966156">
      <w:pPr>
        <w:tabs>
          <w:tab w:val="left" w:pos="2346"/>
        </w:tabs>
        <w:spacing w:before="240"/>
        <w:rPr>
          <w:rFonts w:ascii="Arial" w:hAnsi="Arial" w:cs="Arial"/>
          <w:lang w:val="el-GR"/>
        </w:rPr>
      </w:pPr>
      <w:r w:rsidRPr="00966156">
        <w:rPr>
          <w:rFonts w:ascii="Arial" w:hAnsi="Arial" w:cs="Arial"/>
          <w:lang w:val="ro-RO"/>
        </w:rPr>
        <w:t xml:space="preserve">Apă și sisteme de salubritate curate </w:t>
      </w:r>
    </w:p>
    <w:p w14:paraId="4E1C5FEB" w14:textId="77777777" w:rsidR="00966156" w:rsidRPr="00966156" w:rsidRDefault="000809B0" w:rsidP="00966156">
      <w:pPr>
        <w:tabs>
          <w:tab w:val="left" w:pos="2346"/>
        </w:tabs>
        <w:spacing w:before="240"/>
        <w:rPr>
          <w:rFonts w:ascii="Arial" w:hAnsi="Arial" w:cs="Arial"/>
          <w:lang w:val="el-GR"/>
        </w:rPr>
      </w:pPr>
      <w:r w:rsidRPr="00966156">
        <w:rPr>
          <w:rFonts w:ascii="Arial" w:hAnsi="Arial" w:cs="Arial"/>
          <w:lang w:val="ro-RO"/>
        </w:rPr>
        <w:t xml:space="preserve">Energie regenerabilă </w:t>
      </w:r>
    </w:p>
    <w:p w14:paraId="319888AC" w14:textId="77777777" w:rsidR="00966156" w:rsidRPr="00966156" w:rsidRDefault="000809B0" w:rsidP="00966156">
      <w:pPr>
        <w:tabs>
          <w:tab w:val="left" w:pos="2346"/>
        </w:tabs>
        <w:spacing w:before="240"/>
        <w:rPr>
          <w:rFonts w:ascii="Arial" w:hAnsi="Arial" w:cs="Arial"/>
          <w:lang w:val="el-GR"/>
        </w:rPr>
      </w:pPr>
      <w:r w:rsidRPr="00966156">
        <w:rPr>
          <w:rFonts w:ascii="Arial" w:hAnsi="Arial" w:cs="Arial"/>
          <w:lang w:val="ro-RO"/>
        </w:rPr>
        <w:t xml:space="preserve">Orașe și comunități sustenabile  </w:t>
      </w:r>
    </w:p>
    <w:p w14:paraId="43C00135" w14:textId="77777777" w:rsidR="00966156" w:rsidRPr="00966156" w:rsidRDefault="000809B0" w:rsidP="00966156">
      <w:pPr>
        <w:tabs>
          <w:tab w:val="left" w:pos="2346"/>
        </w:tabs>
        <w:spacing w:before="240"/>
        <w:rPr>
          <w:rFonts w:ascii="Arial" w:hAnsi="Arial" w:cs="Arial"/>
          <w:lang w:val="el-GR"/>
        </w:rPr>
      </w:pPr>
      <w:r w:rsidRPr="00966156">
        <w:rPr>
          <w:rFonts w:ascii="Arial" w:hAnsi="Arial" w:cs="Arial"/>
          <w:lang w:val="ro-RO"/>
        </w:rPr>
        <w:t xml:space="preserve">Acțiune pentru climat </w:t>
      </w:r>
    </w:p>
    <w:p w14:paraId="37FB161C" w14:textId="77777777" w:rsidR="00966156" w:rsidRPr="00966156" w:rsidRDefault="000809B0" w:rsidP="00966156">
      <w:pPr>
        <w:tabs>
          <w:tab w:val="left" w:pos="2346"/>
        </w:tabs>
        <w:spacing w:before="240"/>
        <w:rPr>
          <w:rFonts w:ascii="Arial" w:hAnsi="Arial" w:cs="Arial"/>
          <w:lang w:val="el-GR"/>
        </w:rPr>
      </w:pPr>
      <w:r w:rsidRPr="00966156">
        <w:rPr>
          <w:rFonts w:ascii="Arial" w:hAnsi="Arial" w:cs="Arial"/>
          <w:lang w:val="ro-RO"/>
        </w:rPr>
        <w:t>Viața pe pământ</w:t>
      </w:r>
    </w:p>
    <w:p w14:paraId="368C116E" w14:textId="77777777" w:rsidR="00966156" w:rsidRPr="00966156" w:rsidRDefault="000809B0" w:rsidP="00966156">
      <w:pPr>
        <w:tabs>
          <w:tab w:val="left" w:pos="2346"/>
        </w:tabs>
        <w:spacing w:before="240"/>
        <w:rPr>
          <w:rFonts w:ascii="Arial" w:hAnsi="Arial" w:cs="Arial"/>
          <w:lang w:val="el-GR"/>
        </w:rPr>
      </w:pPr>
    </w:p>
    <w:p w14:paraId="368579F6" w14:textId="77777777" w:rsidR="00966156" w:rsidRPr="00966156" w:rsidRDefault="000809B0" w:rsidP="00966156">
      <w:pPr>
        <w:tabs>
          <w:tab w:val="left" w:pos="2346"/>
        </w:tabs>
        <w:spacing w:before="240"/>
        <w:rPr>
          <w:rFonts w:ascii="Arial" w:hAnsi="Arial" w:cs="Arial"/>
          <w:lang w:val="en-GB"/>
        </w:rPr>
      </w:pPr>
    </w:p>
    <w:p w14:paraId="39A49368" w14:textId="77777777" w:rsidR="00966156" w:rsidRPr="00966156" w:rsidRDefault="000809B0" w:rsidP="00966156">
      <w:pPr>
        <w:tabs>
          <w:tab w:val="left" w:pos="2346"/>
        </w:tabs>
        <w:spacing w:before="240"/>
        <w:rPr>
          <w:rFonts w:ascii="Arial" w:hAnsi="Arial" w:cs="Arial"/>
          <w:lang w:val="el-GR"/>
        </w:rPr>
      </w:pPr>
    </w:p>
    <w:p w14:paraId="79B7C9BB" w14:textId="77777777" w:rsidR="00966156" w:rsidRPr="00966156" w:rsidRDefault="000809B0" w:rsidP="00966156">
      <w:pPr>
        <w:tabs>
          <w:tab w:val="left" w:pos="2346"/>
        </w:tabs>
        <w:spacing w:before="240"/>
        <w:rPr>
          <w:rFonts w:ascii="Arial" w:hAnsi="Arial" w:cs="Arial"/>
          <w:lang w:val="el-GR"/>
        </w:rPr>
      </w:pPr>
    </w:p>
    <w:p w14:paraId="1AC2F9AE" w14:textId="77777777" w:rsidR="00966156" w:rsidRPr="00966156" w:rsidRDefault="000809B0" w:rsidP="00966156">
      <w:pPr>
        <w:tabs>
          <w:tab w:val="left" w:pos="2346"/>
        </w:tabs>
        <w:spacing w:before="240"/>
        <w:rPr>
          <w:rFonts w:ascii="Arial" w:hAnsi="Arial" w:cs="Arial"/>
          <w:lang w:val="el-GR"/>
        </w:rPr>
      </w:pPr>
    </w:p>
    <w:p w14:paraId="44F14DAB" w14:textId="77777777" w:rsidR="00966156" w:rsidRPr="00966156" w:rsidRDefault="000809B0" w:rsidP="00966156">
      <w:pPr>
        <w:tabs>
          <w:tab w:val="left" w:pos="2346"/>
        </w:tabs>
        <w:spacing w:before="240"/>
        <w:rPr>
          <w:rFonts w:ascii="Arial" w:hAnsi="Arial" w:cs="Arial"/>
        </w:rPr>
      </w:pPr>
      <w:r w:rsidRPr="00966156">
        <w:rPr>
          <w:rFonts w:ascii="Arial" w:hAnsi="Arial" w:cs="Arial"/>
        </w:rPr>
        <w:t xml:space="preserve">       </w:t>
      </w:r>
    </w:p>
    <w:p w14:paraId="783D8191" w14:textId="77777777" w:rsidR="00966156" w:rsidRPr="00966156" w:rsidRDefault="000809B0" w:rsidP="00966156">
      <w:pPr>
        <w:tabs>
          <w:tab w:val="left" w:pos="2346"/>
        </w:tabs>
        <w:spacing w:before="240"/>
        <w:rPr>
          <w:rFonts w:ascii="Arial" w:hAnsi="Arial" w:cs="Arial"/>
        </w:rPr>
      </w:pPr>
    </w:p>
    <w:p w14:paraId="6AA09FD1" w14:textId="77777777" w:rsidR="00966156" w:rsidRPr="00966156" w:rsidRDefault="000809B0" w:rsidP="00966156">
      <w:pPr>
        <w:tabs>
          <w:tab w:val="left" w:pos="2346"/>
        </w:tabs>
        <w:spacing w:before="240"/>
        <w:rPr>
          <w:rFonts w:ascii="Arial" w:hAnsi="Arial" w:cs="Arial"/>
        </w:rPr>
      </w:pPr>
    </w:p>
    <w:p w14:paraId="2F2016C7" w14:textId="77777777" w:rsidR="00966156" w:rsidRPr="00966156" w:rsidRDefault="000809B0" w:rsidP="00966156">
      <w:pPr>
        <w:tabs>
          <w:tab w:val="left" w:pos="2346"/>
        </w:tabs>
        <w:spacing w:before="240"/>
        <w:rPr>
          <w:rFonts w:ascii="Arial" w:hAnsi="Arial" w:cs="Arial"/>
          <w:lang w:val="el-GR"/>
        </w:rPr>
      </w:pPr>
    </w:p>
    <w:p w14:paraId="7D16A1D0" w14:textId="77777777" w:rsidR="00966156" w:rsidRPr="00966156" w:rsidRDefault="000809B0" w:rsidP="00966156">
      <w:pPr>
        <w:tabs>
          <w:tab w:val="left" w:pos="2346"/>
        </w:tabs>
        <w:spacing w:before="240"/>
        <w:rPr>
          <w:rFonts w:ascii="Arial" w:hAnsi="Arial" w:cs="Arial"/>
          <w:lang w:val="el-GR"/>
        </w:rPr>
      </w:pPr>
    </w:p>
    <w:p w14:paraId="684A9A60" w14:textId="77777777" w:rsidR="00966156" w:rsidRPr="00966156" w:rsidRDefault="000809B0" w:rsidP="00966156">
      <w:pPr>
        <w:tabs>
          <w:tab w:val="left" w:pos="2346"/>
        </w:tabs>
        <w:spacing w:before="240"/>
        <w:rPr>
          <w:rFonts w:ascii="Arial" w:hAnsi="Arial" w:cs="Arial"/>
          <w:lang w:val="el-GR"/>
        </w:rPr>
      </w:pPr>
    </w:p>
    <w:p w14:paraId="111151C9" w14:textId="77777777" w:rsidR="00966156" w:rsidRPr="00966156" w:rsidRDefault="000809B0" w:rsidP="00966156">
      <w:pPr>
        <w:tabs>
          <w:tab w:val="left" w:pos="2346"/>
        </w:tabs>
        <w:spacing w:before="240"/>
        <w:rPr>
          <w:rFonts w:ascii="Arial" w:hAnsi="Arial" w:cs="Arial"/>
          <w:lang w:val="el-GR"/>
        </w:rPr>
      </w:pPr>
    </w:p>
    <w:p w14:paraId="607B37A0" w14:textId="77777777" w:rsidR="00966156" w:rsidRPr="00966156" w:rsidRDefault="000809B0" w:rsidP="00966156">
      <w:pPr>
        <w:tabs>
          <w:tab w:val="left" w:pos="2346"/>
        </w:tabs>
        <w:spacing w:before="240"/>
        <w:rPr>
          <w:rFonts w:ascii="Arial" w:hAnsi="Arial" w:cs="Arial"/>
          <w:lang w:val="el-GR"/>
        </w:rPr>
      </w:pPr>
    </w:p>
    <w:p w14:paraId="7211EA63" w14:textId="77777777" w:rsidR="00B35F52" w:rsidRPr="00966156" w:rsidRDefault="000809B0" w:rsidP="003E77BA">
      <w:pPr>
        <w:tabs>
          <w:tab w:val="left" w:pos="2346"/>
        </w:tabs>
        <w:spacing w:before="240"/>
        <w:rPr>
          <w:rFonts w:ascii="Arial" w:hAnsi="Arial" w:cs="Arial"/>
        </w:rPr>
      </w:pPr>
    </w:p>
    <w:sectPr w:rsidR="00B35F52" w:rsidRPr="00966156" w:rsidSect="009B5CC9">
      <w:headerReference w:type="even" r:id="rId9"/>
      <w:headerReference w:type="default" r:id="rId10"/>
      <w:head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15B2B" w14:textId="77777777" w:rsidR="00000000" w:rsidRDefault="000809B0">
      <w:r>
        <w:separator/>
      </w:r>
    </w:p>
  </w:endnote>
  <w:endnote w:type="continuationSeparator" w:id="0">
    <w:p w14:paraId="15C63B02" w14:textId="77777777" w:rsidR="00000000" w:rsidRDefault="0008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9BC12" w14:textId="77777777" w:rsidR="00000000" w:rsidRDefault="000809B0">
      <w:r>
        <w:separator/>
      </w:r>
    </w:p>
  </w:footnote>
  <w:footnote w:type="continuationSeparator" w:id="0">
    <w:p w14:paraId="5AE6E8A3" w14:textId="77777777" w:rsidR="00000000" w:rsidRDefault="000809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3E430DB" w14:textId="77777777" w:rsidR="003E77BA" w:rsidRDefault="000809B0">
    <w:pPr>
      <w:pStyle w:val="Header"/>
    </w:pPr>
    <w:r>
      <w:rPr>
        <w:noProof/>
      </w:rPr>
      <w:pict w14:anchorId="7EEB4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8" o:spid="_x0000_s2049" type="#_x0000_t75" alt="/Martin's Work/Martin's Current Work/20375 _SciEng_Hyschool A4 Word Letterhead template/20375_SCI_Hyschool A4 letterhead.jpg" style="position:absolute;margin-left:0;margin-top:0;width:620pt;height:877pt;z-index:-251657216;mso-wrap-edited:f;mso-width-percent:0;mso-height-percent:0;mso-position-horizontal:center;mso-position-horizontal-relative:margin;mso-position-vertical:center;mso-position-vertical-relative:margin;mso-width-percent:0;mso-height-percent:0" o:allowincell="f">
          <v:imagedata r:id="rId1" o:title="20375_SCI_Hyschool A4 letterhea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0AE596" w14:textId="77777777" w:rsidR="003E77BA" w:rsidRDefault="000809B0">
    <w:pPr>
      <w:pStyle w:val="Header"/>
    </w:pPr>
    <w:r>
      <w:rPr>
        <w:noProof/>
      </w:rPr>
      <w:pict w14:anchorId="23580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9" o:spid="_x0000_s2050" type="#_x0000_t75" alt="/Martin's Work/Martin's Current Work/20375 _SciEng_Hyschool A4 Word Letterhead template/20375_SCI_Hyschool A4 letterhead.jpg" style="position:absolute;margin-left:0;margin-top:0;width:620pt;height:877pt;z-index:-251656192;mso-wrap-edited:f;mso-width-percent:0;mso-height-percent:0;mso-position-horizontal:center;mso-position-horizontal-relative:margin;mso-position-vertical:center;mso-position-vertical-relative:margin;mso-width-percent:0;mso-height-percent:0" o:allowincell="f">
          <v:imagedata r:id="rId1" o:title="20375_SCI_Hyschool A4 letterhead"/>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363AD2" w14:textId="77777777" w:rsidR="003E77BA" w:rsidRDefault="000809B0">
    <w:pPr>
      <w:pStyle w:val="Header"/>
    </w:pPr>
    <w:r>
      <w:rPr>
        <w:noProof/>
      </w:rPr>
      <w:pict w14:anchorId="03894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7" o:spid="_x0000_s2051" type="#_x0000_t75" alt="/Martin's Work/Martin's Current Work/20375 _SciEng_Hyschool A4 Word Letterhead template/20375_SCI_Hyschool A4 letterhead.jpg" style="position:absolute;margin-left:0;margin-top:0;width:620pt;height:877pt;z-index:-251658240;mso-wrap-edited:f;mso-width-percent:0;mso-height-percent:0;mso-position-horizontal:center;mso-position-horizontal-relative:margin;mso-position-vertical:center;mso-position-vertical-relative:margin;mso-width-percent:0;mso-height-percent:0" o:allowincell="f">
          <v:imagedata r:id="rId1" o:title="20375_SCI_Hyschool A4 letterhead"/>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52E"/>
    <w:multiLevelType w:val="hybridMultilevel"/>
    <w:tmpl w:val="3260EFEA"/>
    <w:lvl w:ilvl="0" w:tplc="E700A142">
      <w:start w:val="15"/>
      <w:numFmt w:val="bullet"/>
      <w:lvlText w:val=""/>
      <w:lvlJc w:val="left"/>
      <w:pPr>
        <w:ind w:left="720" w:hanging="360"/>
      </w:pPr>
      <w:rPr>
        <w:rFonts w:ascii="Symbol" w:eastAsia="Times New Roman" w:hAnsi="Symbol" w:cs="Helvetica" w:hint="default"/>
      </w:rPr>
    </w:lvl>
    <w:lvl w:ilvl="1" w:tplc="E98058C2" w:tentative="1">
      <w:start w:val="1"/>
      <w:numFmt w:val="bullet"/>
      <w:lvlText w:val="o"/>
      <w:lvlJc w:val="left"/>
      <w:pPr>
        <w:ind w:left="1440" w:hanging="360"/>
      </w:pPr>
      <w:rPr>
        <w:rFonts w:ascii="Courier New" w:hAnsi="Courier New" w:cs="Courier New" w:hint="default"/>
      </w:rPr>
    </w:lvl>
    <w:lvl w:ilvl="2" w:tplc="6D326FCC" w:tentative="1">
      <w:start w:val="1"/>
      <w:numFmt w:val="bullet"/>
      <w:lvlText w:val=""/>
      <w:lvlJc w:val="left"/>
      <w:pPr>
        <w:ind w:left="2160" w:hanging="360"/>
      </w:pPr>
      <w:rPr>
        <w:rFonts w:ascii="Wingdings" w:hAnsi="Wingdings" w:hint="default"/>
      </w:rPr>
    </w:lvl>
    <w:lvl w:ilvl="3" w:tplc="757C8A1E" w:tentative="1">
      <w:start w:val="1"/>
      <w:numFmt w:val="bullet"/>
      <w:lvlText w:val=""/>
      <w:lvlJc w:val="left"/>
      <w:pPr>
        <w:ind w:left="2880" w:hanging="360"/>
      </w:pPr>
      <w:rPr>
        <w:rFonts w:ascii="Symbol" w:hAnsi="Symbol" w:hint="default"/>
      </w:rPr>
    </w:lvl>
    <w:lvl w:ilvl="4" w:tplc="047C81DE" w:tentative="1">
      <w:start w:val="1"/>
      <w:numFmt w:val="bullet"/>
      <w:lvlText w:val="o"/>
      <w:lvlJc w:val="left"/>
      <w:pPr>
        <w:ind w:left="3600" w:hanging="360"/>
      </w:pPr>
      <w:rPr>
        <w:rFonts w:ascii="Courier New" w:hAnsi="Courier New" w:cs="Courier New" w:hint="default"/>
      </w:rPr>
    </w:lvl>
    <w:lvl w:ilvl="5" w:tplc="C0A28056" w:tentative="1">
      <w:start w:val="1"/>
      <w:numFmt w:val="bullet"/>
      <w:lvlText w:val=""/>
      <w:lvlJc w:val="left"/>
      <w:pPr>
        <w:ind w:left="4320" w:hanging="360"/>
      </w:pPr>
      <w:rPr>
        <w:rFonts w:ascii="Wingdings" w:hAnsi="Wingdings" w:hint="default"/>
      </w:rPr>
    </w:lvl>
    <w:lvl w:ilvl="6" w:tplc="0890D132" w:tentative="1">
      <w:start w:val="1"/>
      <w:numFmt w:val="bullet"/>
      <w:lvlText w:val=""/>
      <w:lvlJc w:val="left"/>
      <w:pPr>
        <w:ind w:left="5040" w:hanging="360"/>
      </w:pPr>
      <w:rPr>
        <w:rFonts w:ascii="Symbol" w:hAnsi="Symbol" w:hint="default"/>
      </w:rPr>
    </w:lvl>
    <w:lvl w:ilvl="7" w:tplc="03288456" w:tentative="1">
      <w:start w:val="1"/>
      <w:numFmt w:val="bullet"/>
      <w:lvlText w:val="o"/>
      <w:lvlJc w:val="left"/>
      <w:pPr>
        <w:ind w:left="5760" w:hanging="360"/>
      </w:pPr>
      <w:rPr>
        <w:rFonts w:ascii="Courier New" w:hAnsi="Courier New" w:cs="Courier New" w:hint="default"/>
      </w:rPr>
    </w:lvl>
    <w:lvl w:ilvl="8" w:tplc="595CAB1E"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9B0"/>
    <w:rsid w:val="00080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DD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7BA"/>
    <w:pPr>
      <w:tabs>
        <w:tab w:val="center" w:pos="4680"/>
        <w:tab w:val="right" w:pos="9360"/>
      </w:tabs>
    </w:pPr>
  </w:style>
  <w:style w:type="character" w:customStyle="1" w:styleId="HeaderChar">
    <w:name w:val="Header Char"/>
    <w:basedOn w:val="DefaultParagraphFont"/>
    <w:link w:val="Header"/>
    <w:uiPriority w:val="99"/>
    <w:rsid w:val="003E77BA"/>
  </w:style>
  <w:style w:type="paragraph" w:styleId="Footer">
    <w:name w:val="footer"/>
    <w:basedOn w:val="Normal"/>
    <w:link w:val="FooterChar"/>
    <w:uiPriority w:val="99"/>
    <w:unhideWhenUsed/>
    <w:rsid w:val="003E77BA"/>
    <w:pPr>
      <w:tabs>
        <w:tab w:val="center" w:pos="4680"/>
        <w:tab w:val="right" w:pos="9360"/>
      </w:tabs>
    </w:pPr>
  </w:style>
  <w:style w:type="character" w:customStyle="1" w:styleId="FooterChar">
    <w:name w:val="Footer Char"/>
    <w:basedOn w:val="DefaultParagraphFont"/>
    <w:link w:val="Footer"/>
    <w:uiPriority w:val="99"/>
    <w:rsid w:val="003E77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7BA"/>
    <w:pPr>
      <w:tabs>
        <w:tab w:val="center" w:pos="4680"/>
        <w:tab w:val="right" w:pos="9360"/>
      </w:tabs>
    </w:pPr>
  </w:style>
  <w:style w:type="character" w:customStyle="1" w:styleId="HeaderChar">
    <w:name w:val="Header Char"/>
    <w:basedOn w:val="DefaultParagraphFont"/>
    <w:link w:val="Header"/>
    <w:uiPriority w:val="99"/>
    <w:rsid w:val="003E77BA"/>
  </w:style>
  <w:style w:type="paragraph" w:styleId="Footer">
    <w:name w:val="footer"/>
    <w:basedOn w:val="Normal"/>
    <w:link w:val="FooterChar"/>
    <w:uiPriority w:val="99"/>
    <w:unhideWhenUsed/>
    <w:rsid w:val="003E77BA"/>
    <w:pPr>
      <w:tabs>
        <w:tab w:val="center" w:pos="4680"/>
        <w:tab w:val="right" w:pos="9360"/>
      </w:tabs>
    </w:pPr>
  </w:style>
  <w:style w:type="character" w:customStyle="1" w:styleId="FooterChar">
    <w:name w:val="Footer Char"/>
    <w:basedOn w:val="DefaultParagraphFont"/>
    <w:link w:val="Footer"/>
    <w:uiPriority w:val="99"/>
    <w:rsid w:val="003E7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8B781-2CDA-8D45-9831-09F03445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2113</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Daniela Bazarea</cp:lastModifiedBy>
  <cp:revision>3</cp:revision>
  <dcterms:created xsi:type="dcterms:W3CDTF">2019-07-08T13:47:00Z</dcterms:created>
  <dcterms:modified xsi:type="dcterms:W3CDTF">2019-12-05T14:50:00Z</dcterms:modified>
</cp:coreProperties>
</file>