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99674" w14:textId="77777777" w:rsidR="00BD6587" w:rsidRDefault="001A626B" w:rsidP="00BD6587">
      <w:pPr>
        <w:tabs>
          <w:tab w:val="left" w:pos="2346"/>
        </w:tabs>
        <w:spacing w:before="240"/>
        <w:rPr>
          <w:b/>
          <w:lang w:val="el-GR"/>
        </w:rPr>
      </w:pPr>
    </w:p>
    <w:p w14:paraId="580DB855" w14:textId="77777777" w:rsidR="00BD6587" w:rsidRDefault="001A626B" w:rsidP="00BD6587">
      <w:pPr>
        <w:tabs>
          <w:tab w:val="left" w:pos="2346"/>
        </w:tabs>
        <w:spacing w:before="240"/>
        <w:rPr>
          <w:b/>
          <w:lang w:val="el-GR"/>
        </w:rPr>
      </w:pPr>
    </w:p>
    <w:p w14:paraId="216566B4" w14:textId="77777777" w:rsidR="00BD6587" w:rsidRDefault="001A626B" w:rsidP="00BD6587">
      <w:pPr>
        <w:tabs>
          <w:tab w:val="left" w:pos="2346"/>
        </w:tabs>
        <w:spacing w:before="240"/>
        <w:rPr>
          <w:b/>
          <w:lang w:val="el-GR"/>
        </w:rPr>
      </w:pPr>
    </w:p>
    <w:p w14:paraId="4A21C85A" w14:textId="77777777" w:rsidR="00BD6587" w:rsidRDefault="001A626B" w:rsidP="00BD6587">
      <w:pPr>
        <w:tabs>
          <w:tab w:val="left" w:pos="2346"/>
        </w:tabs>
        <w:spacing w:before="240"/>
        <w:rPr>
          <w:b/>
          <w:lang w:val="el-GR"/>
        </w:rPr>
      </w:pPr>
    </w:p>
    <w:p w14:paraId="0D10110C" w14:textId="77777777" w:rsidR="00BD6587" w:rsidRPr="00BD6587" w:rsidRDefault="001A626B" w:rsidP="00BD6587">
      <w:pPr>
        <w:tabs>
          <w:tab w:val="left" w:pos="2346"/>
        </w:tabs>
        <w:spacing w:before="240"/>
        <w:jc w:val="center"/>
        <w:rPr>
          <w:rFonts w:ascii="Arial" w:hAnsi="Arial" w:cs="Arial"/>
          <w:b/>
          <w:lang w:val="el-GR"/>
        </w:rPr>
      </w:pPr>
      <w:r w:rsidRPr="00BD6587">
        <w:rPr>
          <w:rFonts w:ascii="Arial" w:hAnsi="Arial" w:cs="Arial"/>
          <w:b/>
          <w:lang w:val="ro-RO"/>
        </w:rPr>
        <w:t>Politici și cadru legislativ</w:t>
      </w:r>
    </w:p>
    <w:p w14:paraId="3C6A9F80" w14:textId="77777777" w:rsidR="00BD6587" w:rsidRPr="00BD6587" w:rsidRDefault="001A626B" w:rsidP="00BD6587">
      <w:pPr>
        <w:tabs>
          <w:tab w:val="left" w:pos="2346"/>
        </w:tabs>
        <w:spacing w:before="240"/>
        <w:rPr>
          <w:rFonts w:ascii="Arial" w:hAnsi="Arial" w:cs="Arial"/>
        </w:rPr>
      </w:pPr>
    </w:p>
    <w:p w14:paraId="6175B66F" w14:textId="77777777" w:rsidR="00BD6587" w:rsidRPr="00BD6587" w:rsidRDefault="001A626B" w:rsidP="00BD6587">
      <w:pPr>
        <w:tabs>
          <w:tab w:val="left" w:pos="2346"/>
        </w:tabs>
        <w:spacing w:before="240"/>
        <w:rPr>
          <w:rFonts w:ascii="Arial" w:hAnsi="Arial" w:cs="Arial"/>
        </w:rPr>
      </w:pPr>
      <w:r w:rsidRPr="00BD6587">
        <w:rPr>
          <w:rFonts w:ascii="Arial" w:hAnsi="Arial" w:cs="Arial"/>
          <w:lang w:val="ro-RO"/>
        </w:rPr>
        <w:t>Toate politicile și legile cu privire la hidrogen se concentrează pe și se referă la prevederile Convenției de la Paris.   Convenția de la Paris reprezintă un act cu caracter obligatoriu care a intrat în vigoare în noiembrie 2016 în vederea menținerii feno</w:t>
      </w:r>
      <w:r w:rsidRPr="00BD6587">
        <w:rPr>
          <w:rFonts w:ascii="Arial" w:hAnsi="Arial" w:cs="Arial"/>
          <w:lang w:val="ro-RO"/>
        </w:rPr>
        <w:t xml:space="preserve">menului de încălzire globală sub două grade Celsius peste nivelurile pre-industriale și a depune toate eforturile pentru a limita creșterea temperaturii cu valori mai mari de 1,5 grade Celsius în acest secol. </w:t>
      </w:r>
    </w:p>
    <w:p w14:paraId="7BE49E5B" w14:textId="77777777" w:rsidR="00BD6587" w:rsidRPr="00BD6587" w:rsidRDefault="001A626B" w:rsidP="00BD6587">
      <w:pPr>
        <w:tabs>
          <w:tab w:val="left" w:pos="2346"/>
        </w:tabs>
        <w:spacing w:before="240"/>
        <w:rPr>
          <w:rFonts w:ascii="Arial" w:hAnsi="Arial" w:cs="Arial"/>
        </w:rPr>
      </w:pPr>
      <w:r w:rsidRPr="00BD6587">
        <w:rPr>
          <w:rFonts w:ascii="Arial" w:hAnsi="Arial" w:cs="Arial"/>
          <w:lang w:val="ro-RO"/>
        </w:rPr>
        <w:t>Ț</w:t>
      </w:r>
      <w:r w:rsidRPr="00BD6587">
        <w:rPr>
          <w:rFonts w:ascii="Arial" w:hAnsi="Arial" w:cs="Arial"/>
          <w:lang w:val="ro-RO"/>
        </w:rPr>
        <w:t>inta este ambițioasă, având în vedere că va i</w:t>
      </w:r>
      <w:r w:rsidRPr="00BD6587">
        <w:rPr>
          <w:rFonts w:ascii="Arial" w:hAnsi="Arial" w:cs="Arial"/>
          <w:lang w:val="ro-RO"/>
        </w:rPr>
        <w:t xml:space="preserve">mpune limitarea emisiilor cumulate de dioxid de carbon aferente sectoarelor energetice la nivel mondial la mai puțin de 900gt (gigatone) până în anul 2100 - o valoare care va fi depășită înainte de </w:t>
      </w:r>
      <w:r>
        <w:rPr>
          <w:rFonts w:ascii="Arial" w:hAnsi="Arial" w:cs="Arial"/>
          <w:lang w:val="ro-RO"/>
        </w:rPr>
        <w:t xml:space="preserve">anul </w:t>
      </w:r>
      <w:bookmarkStart w:id="0" w:name="_GoBack"/>
      <w:bookmarkEnd w:id="0"/>
      <w:r w:rsidRPr="00BD6587">
        <w:rPr>
          <w:rFonts w:ascii="Arial" w:hAnsi="Arial" w:cs="Arial"/>
          <w:lang w:val="ro-RO"/>
        </w:rPr>
        <w:t xml:space="preserve">2050 dacă ritmul actual de emisii continuă.   </w:t>
      </w:r>
    </w:p>
    <w:p w14:paraId="0C9C07B1" w14:textId="77777777" w:rsidR="00BD6587" w:rsidRPr="00BD6587" w:rsidRDefault="001A626B" w:rsidP="00BD6587">
      <w:pPr>
        <w:tabs>
          <w:tab w:val="left" w:pos="2346"/>
        </w:tabs>
        <w:spacing w:before="240"/>
        <w:rPr>
          <w:rFonts w:ascii="Arial" w:hAnsi="Arial" w:cs="Arial"/>
        </w:rPr>
      </w:pPr>
      <w:r w:rsidRPr="00BD6587">
        <w:rPr>
          <w:rFonts w:ascii="Arial" w:hAnsi="Arial" w:cs="Arial"/>
          <w:lang w:val="ro-RO"/>
        </w:rPr>
        <w:t>Pentru a s</w:t>
      </w:r>
      <w:r w:rsidRPr="00BD6587">
        <w:rPr>
          <w:rFonts w:ascii="Arial" w:hAnsi="Arial" w:cs="Arial"/>
          <w:lang w:val="ro-RO"/>
        </w:rPr>
        <w:t>e încadra în valoarea admisă de carbon, lumea va trebui să facă schimbări dramatice în fiecare an și să reducă emisiile de CO</w:t>
      </w:r>
      <w:r w:rsidRPr="00BD6587">
        <w:rPr>
          <w:rFonts w:ascii="Arial" w:hAnsi="Arial" w:cs="Arial"/>
          <w:vertAlign w:val="subscript"/>
          <w:lang w:val="ro-RO"/>
        </w:rPr>
        <w:t>2</w:t>
      </w:r>
      <w:r w:rsidRPr="00BD6587">
        <w:rPr>
          <w:rFonts w:ascii="Arial" w:hAnsi="Arial" w:cs="Arial"/>
          <w:lang w:val="ro-RO"/>
        </w:rPr>
        <w:t xml:space="preserve"> aferente sectoarelor energetice până la 60% înainte de 2050 - chiar și în condițiile în care populația crește cu mai mult decât n</w:t>
      </w:r>
      <w:r w:rsidRPr="00BD6587">
        <w:rPr>
          <w:rFonts w:ascii="Arial" w:hAnsi="Arial" w:cs="Arial"/>
          <w:lang w:val="ro-RO"/>
        </w:rPr>
        <w:t xml:space="preserve">umărul estimat de 2 miliarde de oameni.  </w:t>
      </w:r>
    </w:p>
    <w:p w14:paraId="58DFC3E0" w14:textId="77777777" w:rsidR="00BD6587" w:rsidRPr="00BD6587" w:rsidRDefault="001A626B" w:rsidP="00BD6587">
      <w:pPr>
        <w:tabs>
          <w:tab w:val="left" w:pos="2346"/>
        </w:tabs>
        <w:spacing w:before="240"/>
        <w:rPr>
          <w:rFonts w:ascii="Arial" w:hAnsi="Arial" w:cs="Arial"/>
        </w:rPr>
      </w:pPr>
      <w:r w:rsidRPr="00BD6587">
        <w:rPr>
          <w:rFonts w:ascii="Arial" w:hAnsi="Arial" w:cs="Arial"/>
          <w:lang w:val="ro-RO"/>
        </w:rPr>
        <w:t xml:space="preserve">Pentru a realiza o de-carbonizare atât de drastică, va fi necesară o transformare radicală a sistemului energetic mondial. </w:t>
      </w:r>
    </w:p>
    <w:p w14:paraId="1B6A5985" w14:textId="77777777" w:rsidR="00BD6587" w:rsidRPr="00BD6587" w:rsidRDefault="001A626B" w:rsidP="00BD6587">
      <w:pPr>
        <w:numPr>
          <w:ilvl w:val="0"/>
          <w:numId w:val="1"/>
        </w:numPr>
        <w:tabs>
          <w:tab w:val="left" w:pos="2346"/>
        </w:tabs>
        <w:spacing w:before="240"/>
        <w:rPr>
          <w:rFonts w:ascii="Arial" w:hAnsi="Arial" w:cs="Arial"/>
        </w:rPr>
      </w:pPr>
      <w:r w:rsidRPr="00BD6587">
        <w:rPr>
          <w:rFonts w:ascii="Arial" w:hAnsi="Arial" w:cs="Arial"/>
          <w:lang w:val="ro-RO"/>
        </w:rPr>
        <w:t>Lumea va trebui să devină mult mai eficientă energetic.</w:t>
      </w:r>
    </w:p>
    <w:p w14:paraId="59F9016E" w14:textId="77777777" w:rsidR="00BD6587" w:rsidRPr="00BD6587" w:rsidRDefault="001A626B" w:rsidP="00BD6587">
      <w:pPr>
        <w:numPr>
          <w:ilvl w:val="0"/>
          <w:numId w:val="1"/>
        </w:numPr>
        <w:tabs>
          <w:tab w:val="left" w:pos="2346"/>
        </w:tabs>
        <w:spacing w:before="240"/>
        <w:rPr>
          <w:rFonts w:ascii="Arial" w:hAnsi="Arial" w:cs="Arial"/>
        </w:rPr>
      </w:pPr>
      <w:r w:rsidRPr="00BD6587">
        <w:rPr>
          <w:rFonts w:ascii="Arial" w:hAnsi="Arial" w:cs="Arial"/>
          <w:lang w:val="ro-RO"/>
        </w:rPr>
        <w:t xml:space="preserve">Furnizarea de energie trebuie sa </w:t>
      </w:r>
      <w:r w:rsidRPr="00BD6587">
        <w:rPr>
          <w:rFonts w:ascii="Arial" w:hAnsi="Arial" w:cs="Arial"/>
          <w:lang w:val="ro-RO"/>
        </w:rPr>
        <w:t xml:space="preserve">treacă la surse regenerabile. </w:t>
      </w:r>
    </w:p>
    <w:p w14:paraId="40B8C90E" w14:textId="77777777" w:rsidR="00BD6587" w:rsidRPr="00BD6587" w:rsidRDefault="001A626B" w:rsidP="00BD6587">
      <w:pPr>
        <w:numPr>
          <w:ilvl w:val="0"/>
          <w:numId w:val="1"/>
        </w:numPr>
        <w:tabs>
          <w:tab w:val="left" w:pos="2346"/>
        </w:tabs>
        <w:spacing w:before="240"/>
        <w:rPr>
          <w:rFonts w:ascii="Arial" w:hAnsi="Arial" w:cs="Arial"/>
        </w:rPr>
      </w:pPr>
      <w:r w:rsidRPr="00BD6587">
        <w:rPr>
          <w:rFonts w:ascii="Arial" w:hAnsi="Arial" w:cs="Arial"/>
          <w:lang w:val="ro-RO"/>
        </w:rPr>
        <w:t xml:space="preserve">Energia utilizată în transport, construcții și sectorul industrial va trebui obținută din vectori energetici cu emisii reduse de carbon, precum energia electrică verde, biomasa, biogazul și hidrogenul verde și curat. </w:t>
      </w:r>
    </w:p>
    <w:p w14:paraId="0C05EDBD" w14:textId="77777777" w:rsidR="00BD6587" w:rsidRPr="00BD6587" w:rsidRDefault="001A626B" w:rsidP="00BD6587">
      <w:pPr>
        <w:numPr>
          <w:ilvl w:val="0"/>
          <w:numId w:val="1"/>
        </w:numPr>
        <w:tabs>
          <w:tab w:val="left" w:pos="2346"/>
        </w:tabs>
        <w:spacing w:before="240"/>
        <w:rPr>
          <w:rFonts w:ascii="Arial" w:hAnsi="Arial" w:cs="Arial"/>
        </w:rPr>
      </w:pPr>
      <w:r w:rsidRPr="00BD6587">
        <w:rPr>
          <w:rFonts w:ascii="Arial" w:hAnsi="Arial" w:cs="Arial"/>
          <w:lang w:val="ro-RO"/>
        </w:rPr>
        <w:t>Emisiil</w:t>
      </w:r>
      <w:r w:rsidRPr="00BD6587">
        <w:rPr>
          <w:rFonts w:ascii="Arial" w:hAnsi="Arial" w:cs="Arial"/>
          <w:lang w:val="ro-RO"/>
        </w:rPr>
        <w:t xml:space="preserve">e de carbon generate de combustibilii fosili rămași în sistem trebuie captate și stocate prin sistemul de Captare și Stocare a Carbonului (CCS) sau utilizate în industria chimică prin sistemul de Captare și Utilizare a Carbonului (CCU).  </w:t>
      </w:r>
    </w:p>
    <w:p w14:paraId="5A7E225B" w14:textId="77777777" w:rsidR="00BD6587" w:rsidRDefault="001A626B" w:rsidP="00BD6587">
      <w:pPr>
        <w:tabs>
          <w:tab w:val="left" w:pos="2346"/>
        </w:tabs>
        <w:spacing w:before="240"/>
        <w:rPr>
          <w:rFonts w:ascii="Arial" w:hAnsi="Arial" w:cs="Arial"/>
        </w:rPr>
      </w:pPr>
    </w:p>
    <w:p w14:paraId="33F8EDD4" w14:textId="77777777" w:rsidR="00BD6587" w:rsidRDefault="001A626B" w:rsidP="00BD6587">
      <w:pPr>
        <w:tabs>
          <w:tab w:val="left" w:pos="2346"/>
        </w:tabs>
        <w:spacing w:before="240"/>
        <w:rPr>
          <w:rFonts w:ascii="Arial" w:hAnsi="Arial" w:cs="Arial"/>
        </w:rPr>
      </w:pPr>
    </w:p>
    <w:p w14:paraId="6FC89FA6" w14:textId="77777777" w:rsidR="00BD6587" w:rsidRDefault="001A626B" w:rsidP="00BD6587">
      <w:pPr>
        <w:tabs>
          <w:tab w:val="left" w:pos="2346"/>
        </w:tabs>
        <w:spacing w:before="240"/>
        <w:rPr>
          <w:rFonts w:ascii="Arial" w:hAnsi="Arial" w:cs="Arial"/>
        </w:rPr>
      </w:pPr>
    </w:p>
    <w:p w14:paraId="7EA1A800" w14:textId="77777777" w:rsidR="00BD6587" w:rsidRDefault="001A626B" w:rsidP="00BD6587">
      <w:pPr>
        <w:tabs>
          <w:tab w:val="left" w:pos="2346"/>
        </w:tabs>
        <w:spacing w:before="240"/>
        <w:rPr>
          <w:rFonts w:ascii="Arial" w:hAnsi="Arial" w:cs="Arial"/>
        </w:rPr>
      </w:pPr>
    </w:p>
    <w:p w14:paraId="1AB6FC37" w14:textId="77777777" w:rsidR="00BD6587" w:rsidRDefault="001A626B" w:rsidP="00BD6587">
      <w:pPr>
        <w:tabs>
          <w:tab w:val="left" w:pos="2346"/>
        </w:tabs>
        <w:spacing w:before="240"/>
        <w:rPr>
          <w:rFonts w:ascii="Arial" w:hAnsi="Arial" w:cs="Arial"/>
        </w:rPr>
      </w:pPr>
    </w:p>
    <w:p w14:paraId="78F69954" w14:textId="77777777" w:rsidR="00BD6587" w:rsidRDefault="001A626B" w:rsidP="00BD6587">
      <w:pPr>
        <w:tabs>
          <w:tab w:val="left" w:pos="2346"/>
        </w:tabs>
        <w:spacing w:before="240"/>
        <w:rPr>
          <w:rFonts w:ascii="Arial" w:hAnsi="Arial" w:cs="Arial"/>
        </w:rPr>
      </w:pPr>
    </w:p>
    <w:p w14:paraId="27651312" w14:textId="77777777" w:rsidR="00BD6587" w:rsidRDefault="001A626B" w:rsidP="00BD6587">
      <w:pPr>
        <w:tabs>
          <w:tab w:val="left" w:pos="2346"/>
        </w:tabs>
        <w:spacing w:before="240"/>
        <w:rPr>
          <w:rFonts w:ascii="Arial" w:hAnsi="Arial" w:cs="Arial"/>
        </w:rPr>
      </w:pPr>
    </w:p>
    <w:p w14:paraId="6B994E36" w14:textId="77777777" w:rsidR="00BD6587" w:rsidRPr="00BD6587" w:rsidRDefault="001A626B" w:rsidP="00BD6587">
      <w:pPr>
        <w:tabs>
          <w:tab w:val="left" w:pos="2346"/>
        </w:tabs>
        <w:spacing w:before="240"/>
        <w:rPr>
          <w:rFonts w:ascii="Arial" w:hAnsi="Arial" w:cs="Arial"/>
        </w:rPr>
      </w:pPr>
    </w:p>
    <w:p w14:paraId="735A620E" w14:textId="77777777" w:rsidR="00BD6587" w:rsidRDefault="001A626B" w:rsidP="00BD6587">
      <w:pPr>
        <w:tabs>
          <w:tab w:val="left" w:pos="2346"/>
        </w:tabs>
        <w:spacing w:before="240"/>
        <w:rPr>
          <w:rFonts w:ascii="Arial" w:hAnsi="Arial" w:cs="Arial"/>
        </w:rPr>
      </w:pPr>
    </w:p>
    <w:p w14:paraId="6D70976A" w14:textId="77777777" w:rsidR="00BD6587" w:rsidRPr="001A626B" w:rsidRDefault="001A626B" w:rsidP="00BD6587">
      <w:pPr>
        <w:tabs>
          <w:tab w:val="left" w:pos="2346"/>
        </w:tabs>
        <w:spacing w:before="240"/>
        <w:rPr>
          <w:rFonts w:ascii="Arial" w:hAnsi="Arial" w:cs="Arial"/>
        </w:rPr>
      </w:pPr>
      <w:r w:rsidRPr="00BD6587">
        <w:rPr>
          <w:rFonts w:ascii="Arial" w:hAnsi="Arial" w:cs="Arial"/>
          <w:lang w:val="ro-RO"/>
        </w:rPr>
        <w:t>Dezvoltarea de soluții de stocare accesibile și integrate reprezintă o prioritate pentru a facilita și realiza tranziția la un sistem energetic cu emisii reduse de carbon, bazat în mare parte pe surse regenerabile.   Odată cu intrarea în vigoare a Convenți</w:t>
      </w:r>
      <w:r w:rsidRPr="00BD6587">
        <w:rPr>
          <w:rFonts w:ascii="Arial" w:hAnsi="Arial" w:cs="Arial"/>
          <w:lang w:val="ro-RO"/>
        </w:rPr>
        <w:t xml:space="preserve">ei de la Paris, comunitatea internațională s-a angajat să se îndrepte spre o economie modernă, cu emisii reduse de carbon. </w:t>
      </w:r>
    </w:p>
    <w:p w14:paraId="136D9FBE" w14:textId="77777777" w:rsidR="00BD6587" w:rsidRPr="00BD6587" w:rsidRDefault="001A626B" w:rsidP="00BD6587">
      <w:pPr>
        <w:tabs>
          <w:tab w:val="left" w:pos="2346"/>
        </w:tabs>
        <w:spacing w:before="240"/>
        <w:rPr>
          <w:rFonts w:ascii="Arial" w:hAnsi="Arial" w:cs="Arial"/>
        </w:rPr>
      </w:pPr>
      <w:r w:rsidRPr="00BD6587">
        <w:rPr>
          <w:rFonts w:ascii="Arial" w:hAnsi="Arial" w:cs="Arial"/>
          <w:lang w:val="ro-RO"/>
        </w:rPr>
        <w:t>Consiliul Hidrogenului este o coaliție mondială formată din peste 50 de lideri din domeniul transporturilor și aerospațial.   Aceșt</w:t>
      </w:r>
      <w:r w:rsidRPr="00BD6587">
        <w:rPr>
          <w:rFonts w:ascii="Arial" w:hAnsi="Arial" w:cs="Arial"/>
          <w:lang w:val="ro-RO"/>
        </w:rPr>
        <w:t xml:space="preserve">ia consideră că hidrogenul poate juca un rol cheie în tranziția spre energie curată în cazul în care investitorii, sectorul industrial și guvernele lucrează împreună pentru a crea cadrul tehnic, financiar și legislativ adecvat, care va permite dezvoltarea </w:t>
      </w:r>
      <w:r w:rsidRPr="00BD6587">
        <w:rPr>
          <w:rFonts w:ascii="Arial" w:hAnsi="Arial" w:cs="Arial"/>
          <w:lang w:val="ro-RO"/>
        </w:rPr>
        <w:t xml:space="preserve">soluțiilor pe bază de hidrogen decarbonizat.   Pentru a realiza această viziune, eforturile în acest sens trebuie coordonate și intensificate.  </w:t>
      </w:r>
    </w:p>
    <w:p w14:paraId="6F95F497" w14:textId="77777777" w:rsidR="00BD6587" w:rsidRPr="00BD6587" w:rsidRDefault="001A626B" w:rsidP="00BD6587">
      <w:pPr>
        <w:tabs>
          <w:tab w:val="left" w:pos="2346"/>
        </w:tabs>
        <w:spacing w:before="240"/>
        <w:rPr>
          <w:rFonts w:ascii="Arial" w:hAnsi="Arial" w:cs="Arial"/>
          <w:lang w:val="en-GB"/>
        </w:rPr>
      </w:pPr>
    </w:p>
    <w:p w14:paraId="66D54A60" w14:textId="77777777" w:rsidR="00B35F52" w:rsidRPr="00BD6587" w:rsidRDefault="001A626B" w:rsidP="003E77BA">
      <w:pPr>
        <w:tabs>
          <w:tab w:val="left" w:pos="2346"/>
        </w:tabs>
        <w:spacing w:before="240"/>
        <w:rPr>
          <w:rFonts w:ascii="Arial" w:hAnsi="Arial" w:cs="Arial"/>
        </w:rPr>
      </w:pPr>
    </w:p>
    <w:sectPr w:rsidR="00B35F52" w:rsidRPr="00BD6587" w:rsidSect="009B5CC9">
      <w:headerReference w:type="even" r:id="rId9"/>
      <w:head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704DC" w14:textId="77777777" w:rsidR="00000000" w:rsidRDefault="001A626B">
      <w:r>
        <w:separator/>
      </w:r>
    </w:p>
  </w:endnote>
  <w:endnote w:type="continuationSeparator" w:id="0">
    <w:p w14:paraId="530D3EB0" w14:textId="77777777" w:rsidR="00000000" w:rsidRDefault="001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33917" w14:textId="77777777" w:rsidR="00000000" w:rsidRDefault="001A626B">
      <w:r>
        <w:separator/>
      </w:r>
    </w:p>
  </w:footnote>
  <w:footnote w:type="continuationSeparator" w:id="0">
    <w:p w14:paraId="5C5F5F12" w14:textId="77777777" w:rsidR="00000000" w:rsidRDefault="001A62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427900" w14:textId="77777777" w:rsidR="003E77BA" w:rsidRDefault="001A626B">
    <w:pPr>
      <w:pStyle w:val="Header"/>
    </w:pPr>
    <w:r>
      <w:rPr>
        <w:noProof/>
      </w:rPr>
      <w:pict w14:anchorId="251D3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position:absolute;margin-left:0;margin-top:0;width:620pt;height:877pt;z-index:-251657216;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0D4863" w14:textId="77777777" w:rsidR="003E77BA" w:rsidRDefault="001A626B">
    <w:pPr>
      <w:pStyle w:val="Header"/>
    </w:pPr>
    <w:r>
      <w:rPr>
        <w:noProof/>
      </w:rPr>
      <w:pict w14:anchorId="6D636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2BDE22" w14:textId="77777777" w:rsidR="003E77BA" w:rsidRDefault="001A626B">
    <w:pPr>
      <w:pStyle w:val="Header"/>
    </w:pPr>
    <w:r>
      <w:rPr>
        <w:noProof/>
      </w:rPr>
      <w:pict w14:anchorId="19076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61A"/>
    <w:multiLevelType w:val="hybridMultilevel"/>
    <w:tmpl w:val="25601FA0"/>
    <w:lvl w:ilvl="0" w:tplc="119E555A">
      <w:start w:val="5"/>
      <w:numFmt w:val="bullet"/>
      <w:lvlText w:val=""/>
      <w:lvlJc w:val="left"/>
      <w:pPr>
        <w:ind w:left="720" w:hanging="360"/>
      </w:pPr>
      <w:rPr>
        <w:rFonts w:ascii="Symbol" w:eastAsiaTheme="minorHAnsi" w:hAnsi="Symbol" w:cstheme="minorBidi" w:hint="default"/>
      </w:rPr>
    </w:lvl>
    <w:lvl w:ilvl="1" w:tplc="C6C2AB28" w:tentative="1">
      <w:start w:val="1"/>
      <w:numFmt w:val="bullet"/>
      <w:lvlText w:val="o"/>
      <w:lvlJc w:val="left"/>
      <w:pPr>
        <w:ind w:left="1440" w:hanging="360"/>
      </w:pPr>
      <w:rPr>
        <w:rFonts w:ascii="Courier New" w:hAnsi="Courier New" w:cs="Courier New" w:hint="default"/>
      </w:rPr>
    </w:lvl>
    <w:lvl w:ilvl="2" w:tplc="AF863D2E" w:tentative="1">
      <w:start w:val="1"/>
      <w:numFmt w:val="bullet"/>
      <w:lvlText w:val=""/>
      <w:lvlJc w:val="left"/>
      <w:pPr>
        <w:ind w:left="2160" w:hanging="360"/>
      </w:pPr>
      <w:rPr>
        <w:rFonts w:ascii="Wingdings" w:hAnsi="Wingdings" w:hint="default"/>
      </w:rPr>
    </w:lvl>
    <w:lvl w:ilvl="3" w:tplc="8B884620" w:tentative="1">
      <w:start w:val="1"/>
      <w:numFmt w:val="bullet"/>
      <w:lvlText w:val=""/>
      <w:lvlJc w:val="left"/>
      <w:pPr>
        <w:ind w:left="2880" w:hanging="360"/>
      </w:pPr>
      <w:rPr>
        <w:rFonts w:ascii="Symbol" w:hAnsi="Symbol" w:hint="default"/>
      </w:rPr>
    </w:lvl>
    <w:lvl w:ilvl="4" w:tplc="852EA0A6" w:tentative="1">
      <w:start w:val="1"/>
      <w:numFmt w:val="bullet"/>
      <w:lvlText w:val="o"/>
      <w:lvlJc w:val="left"/>
      <w:pPr>
        <w:ind w:left="3600" w:hanging="360"/>
      </w:pPr>
      <w:rPr>
        <w:rFonts w:ascii="Courier New" w:hAnsi="Courier New" w:cs="Courier New" w:hint="default"/>
      </w:rPr>
    </w:lvl>
    <w:lvl w:ilvl="5" w:tplc="8084E0F6" w:tentative="1">
      <w:start w:val="1"/>
      <w:numFmt w:val="bullet"/>
      <w:lvlText w:val=""/>
      <w:lvlJc w:val="left"/>
      <w:pPr>
        <w:ind w:left="4320" w:hanging="360"/>
      </w:pPr>
      <w:rPr>
        <w:rFonts w:ascii="Wingdings" w:hAnsi="Wingdings" w:hint="default"/>
      </w:rPr>
    </w:lvl>
    <w:lvl w:ilvl="6" w:tplc="E45637FE" w:tentative="1">
      <w:start w:val="1"/>
      <w:numFmt w:val="bullet"/>
      <w:lvlText w:val=""/>
      <w:lvlJc w:val="left"/>
      <w:pPr>
        <w:ind w:left="5040" w:hanging="360"/>
      </w:pPr>
      <w:rPr>
        <w:rFonts w:ascii="Symbol" w:hAnsi="Symbol" w:hint="default"/>
      </w:rPr>
    </w:lvl>
    <w:lvl w:ilvl="7" w:tplc="9620E516" w:tentative="1">
      <w:start w:val="1"/>
      <w:numFmt w:val="bullet"/>
      <w:lvlText w:val="o"/>
      <w:lvlJc w:val="left"/>
      <w:pPr>
        <w:ind w:left="5760" w:hanging="360"/>
      </w:pPr>
      <w:rPr>
        <w:rFonts w:ascii="Courier New" w:hAnsi="Courier New" w:cs="Courier New" w:hint="default"/>
      </w:rPr>
    </w:lvl>
    <w:lvl w:ilvl="8" w:tplc="383A99A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6B"/>
    <w:rsid w:val="001A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65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31AF-5D4A-7844-BA97-9241065D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Bazarea</cp:lastModifiedBy>
  <cp:revision>3</cp:revision>
  <dcterms:created xsi:type="dcterms:W3CDTF">2019-07-08T13:49:00Z</dcterms:created>
  <dcterms:modified xsi:type="dcterms:W3CDTF">2019-12-05T14:44:00Z</dcterms:modified>
</cp:coreProperties>
</file>