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0FB56" w14:textId="77777777" w:rsidR="00DA1591" w:rsidRDefault="00866BF4" w:rsidP="00DA1591">
      <w:pPr>
        <w:suppressAutoHyphens/>
        <w:spacing w:after="240" w:line="276" w:lineRule="auto"/>
        <w:jc w:val="center"/>
        <w:rPr>
          <w:rFonts w:ascii="Arial" w:eastAsia="Times New Roman" w:hAnsi="Arial" w:cs="Arial"/>
          <w:b/>
          <w:u w:val="single"/>
          <w:lang w:val="en-GB" w:eastAsia="zh-CN"/>
        </w:rPr>
      </w:pPr>
    </w:p>
    <w:p w14:paraId="2C86EF61" w14:textId="77777777" w:rsidR="00DA1591" w:rsidRDefault="00866BF4" w:rsidP="00DA1591">
      <w:pPr>
        <w:suppressAutoHyphens/>
        <w:spacing w:after="240" w:line="276" w:lineRule="auto"/>
        <w:jc w:val="center"/>
        <w:rPr>
          <w:rFonts w:ascii="Arial" w:eastAsia="Times New Roman" w:hAnsi="Arial" w:cs="Arial"/>
          <w:b/>
          <w:u w:val="single"/>
          <w:lang w:val="en-GB" w:eastAsia="zh-CN"/>
        </w:rPr>
      </w:pPr>
    </w:p>
    <w:p w14:paraId="4F9A2D9C" w14:textId="77777777" w:rsidR="00DA1591" w:rsidRDefault="00866BF4" w:rsidP="00DA1591">
      <w:pPr>
        <w:suppressAutoHyphens/>
        <w:spacing w:after="240" w:line="276" w:lineRule="auto"/>
        <w:jc w:val="center"/>
        <w:rPr>
          <w:rFonts w:ascii="Arial" w:eastAsia="Times New Roman" w:hAnsi="Arial" w:cs="Arial"/>
          <w:b/>
          <w:u w:val="single"/>
          <w:lang w:val="en-GB" w:eastAsia="zh-CN"/>
        </w:rPr>
      </w:pPr>
    </w:p>
    <w:p w14:paraId="68D49D8D" w14:textId="77777777" w:rsidR="00DA1591" w:rsidRDefault="00866BF4" w:rsidP="00DA1591">
      <w:pPr>
        <w:suppressAutoHyphens/>
        <w:spacing w:after="240" w:line="276" w:lineRule="auto"/>
        <w:jc w:val="center"/>
        <w:rPr>
          <w:rFonts w:ascii="Arial" w:eastAsia="Times New Roman" w:hAnsi="Arial" w:cs="Arial"/>
          <w:b/>
          <w:u w:val="single"/>
          <w:lang w:val="en-GB" w:eastAsia="zh-CN"/>
        </w:rPr>
      </w:pPr>
    </w:p>
    <w:p w14:paraId="3FAD08EF" w14:textId="77777777" w:rsidR="00DA1591" w:rsidRPr="00DA1591" w:rsidRDefault="00866BF4" w:rsidP="00DA1591">
      <w:pPr>
        <w:suppressAutoHyphens/>
        <w:spacing w:after="240" w:line="276" w:lineRule="auto"/>
        <w:jc w:val="center"/>
        <w:rPr>
          <w:rFonts w:ascii="Arial" w:eastAsia="Times New Roman" w:hAnsi="Arial" w:cs="Arial"/>
          <w:b/>
          <w:u w:val="single"/>
          <w:lang w:val="en-GB" w:eastAsia="zh-CN"/>
        </w:rPr>
      </w:pPr>
      <w:r w:rsidRPr="00DA1591">
        <w:rPr>
          <w:rFonts w:ascii="Arial" w:eastAsia="Times New Roman" w:hAnsi="Arial" w:cs="Arial"/>
          <w:b/>
          <w:u w:val="single"/>
          <w:lang w:val="ro-RO" w:eastAsia="zh-CN"/>
        </w:rPr>
        <w:t xml:space="preserve">Evaluarea riscurilor </w:t>
      </w:r>
    </w:p>
    <w:p w14:paraId="6C3C8313" w14:textId="77777777" w:rsidR="00DA1591" w:rsidRPr="00DA1591" w:rsidRDefault="00866BF4" w:rsidP="00DA1591">
      <w:pPr>
        <w:suppressAutoHyphens/>
        <w:spacing w:after="240" w:line="276" w:lineRule="auto"/>
        <w:jc w:val="both"/>
        <w:rPr>
          <w:rFonts w:ascii="Arial" w:eastAsia="Times New Roman" w:hAnsi="Arial" w:cs="Arial"/>
          <w:b/>
          <w:lang w:val="en-GB" w:eastAsia="zh-CN"/>
        </w:rPr>
      </w:pPr>
      <w:r w:rsidRPr="00DA1591">
        <w:rPr>
          <w:rFonts w:ascii="Arial" w:eastAsia="Times New Roman" w:hAnsi="Arial" w:cs="Arial"/>
          <w:b/>
          <w:lang w:val="ro-RO" w:eastAsia="zh-CN"/>
        </w:rPr>
        <w:t xml:space="preserve">Manipularea hidrogenului și standarde de proiectare  </w:t>
      </w:r>
    </w:p>
    <w:p w14:paraId="687D7054" w14:textId="77777777" w:rsidR="00DA1591" w:rsidRP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zh-CN"/>
        </w:rPr>
      </w:pPr>
      <w:r w:rsidRPr="00DA1591">
        <w:rPr>
          <w:rFonts w:ascii="Arial" w:eastAsia="Times New Roman" w:hAnsi="Arial" w:cs="Arial"/>
          <w:lang w:val="ro-RO" w:eastAsia="zh-CN"/>
        </w:rPr>
        <w:t>Utilizarea extinsă a hidrogenului în diverse aplicații precum industria aerospațială, alimentară și petrochimică a dus la înțelegerea în profunzime și la experiență în ceea ce privește manipularea în siguranță a acestuia.  Hidrogenul atrage multă atenție l</w:t>
      </w:r>
      <w:r w:rsidRPr="00DA1591">
        <w:rPr>
          <w:rFonts w:ascii="Arial" w:eastAsia="Times New Roman" w:hAnsi="Arial" w:cs="Arial"/>
          <w:lang w:val="ro-RO" w:eastAsia="zh-CN"/>
        </w:rPr>
        <w:t>a nivel mondial ca potențial mediu de stocare a energiei care poate produce electricitate cu ajutorul pilelor de combustie sau energie mecanică prin combustie.  Ca urmare, această preocupare a atras mulți noi participanți la studierea, dezvoltarea, demonst</w:t>
      </w:r>
      <w:r w:rsidRPr="00DA1591">
        <w:rPr>
          <w:rFonts w:ascii="Arial" w:eastAsia="Times New Roman" w:hAnsi="Arial" w:cs="Arial"/>
          <w:lang w:val="ro-RO" w:eastAsia="zh-CN"/>
        </w:rPr>
        <w:t xml:space="preserve">rarea și promovarea tehnologiilor care utilizează hidrogen, cum ar fi vehiculele cu pilă de combustie și cu pilă de combustie staționară. </w:t>
      </w:r>
    </w:p>
    <w:p w14:paraId="2F4B2D3E" w14:textId="77777777" w:rsidR="00DA1591" w:rsidRP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zh-CN"/>
        </w:rPr>
      </w:pPr>
      <w:r w:rsidRPr="00DA1591">
        <w:rPr>
          <w:rFonts w:ascii="Arial" w:eastAsia="Times New Roman" w:hAnsi="Arial" w:cs="Arial"/>
          <w:lang w:val="ro-RO" w:eastAsia="zh-CN"/>
        </w:rPr>
        <w:t>Asigurarea unui spațiu de lucru corect proiectat este vitală pentru orice proiect care presupune utilizarea hidrogenu</w:t>
      </w:r>
      <w:r w:rsidRPr="00DA1591">
        <w:rPr>
          <w:rFonts w:ascii="Arial" w:eastAsia="Times New Roman" w:hAnsi="Arial" w:cs="Arial"/>
          <w:lang w:val="ro-RO" w:eastAsia="zh-CN"/>
        </w:rPr>
        <w:t>lui.  Cu toate că, poate că nu este întotdeauna posibil să se construiască o clădire sau un laborator potrivit pentru utilizarea hidrogenului, înțelegerea impactului proprietăților hidrogenului asupra unei construcții este crucială.  Operatorii și proiecta</w:t>
      </w:r>
      <w:r w:rsidRPr="00DA1591">
        <w:rPr>
          <w:rFonts w:ascii="Arial" w:eastAsia="Times New Roman" w:hAnsi="Arial" w:cs="Arial"/>
          <w:lang w:val="ro-RO" w:eastAsia="zh-CN"/>
        </w:rPr>
        <w:t xml:space="preserve">nții unităților de stocare a hidrogenului trebuie să cunoască plaja largă de inflamabilitate a hidrogenului în comparație cu metanul sau benzina și de orice potențială sursă de aprindere.  </w:t>
      </w:r>
    </w:p>
    <w:p w14:paraId="72137E7C" w14:textId="77777777" w:rsidR="00DA1591" w:rsidRP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zh-CN"/>
        </w:rPr>
      </w:pPr>
      <w:r w:rsidRPr="00DA1591">
        <w:rPr>
          <w:rFonts w:ascii="Arial" w:eastAsia="Times New Roman" w:hAnsi="Arial" w:cs="Arial"/>
          <w:lang w:val="ro-RO" w:eastAsia="zh-CN"/>
        </w:rPr>
        <w:t>Ventilația corectă poate reduce drastic riscul de formare a unui a</w:t>
      </w:r>
      <w:r w:rsidRPr="00DA1591">
        <w:rPr>
          <w:rFonts w:ascii="Arial" w:eastAsia="Times New Roman" w:hAnsi="Arial" w:cs="Arial"/>
          <w:lang w:val="ro-RO" w:eastAsia="zh-CN"/>
        </w:rPr>
        <w:t xml:space="preserve">mestec inflamabil de hidrogen dintr-o scurgere într-un spațiu închis.  </w:t>
      </w:r>
    </w:p>
    <w:p w14:paraId="70E84884" w14:textId="77777777" w:rsidR="00DA1591" w:rsidRP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en-GB"/>
        </w:rPr>
      </w:pPr>
      <w:r w:rsidRPr="00DA1591">
        <w:rPr>
          <w:rFonts w:ascii="Arial" w:eastAsia="Times New Roman" w:hAnsi="Arial" w:cs="Arial"/>
          <w:lang w:val="ro-RO" w:eastAsia="en-GB"/>
        </w:rPr>
        <w:t xml:space="preserve">Sistemele de conducte de hidrogen trebuie să reziste la condiții mai extreme decât cele din timpul funcționării.  Trebuie luate măsuri de protecție a conductelor de hidrogen îngropate </w:t>
      </w:r>
      <w:r w:rsidRPr="00DA1591">
        <w:rPr>
          <w:rFonts w:ascii="Arial" w:eastAsia="Times New Roman" w:hAnsi="Arial" w:cs="Arial"/>
          <w:lang w:val="ro-RO" w:eastAsia="en-GB"/>
        </w:rPr>
        <w:t xml:space="preserve">subteran.   Conductele trebuie să reziste la uzură și la dilatarea și contractarea termică. </w:t>
      </w:r>
    </w:p>
    <w:p w14:paraId="1A32D855" w14:textId="77777777" w:rsidR="00DA1591" w:rsidRP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zh-CN"/>
        </w:rPr>
      </w:pPr>
      <w:r w:rsidRPr="00DA1591">
        <w:rPr>
          <w:rFonts w:ascii="Arial" w:eastAsia="Times New Roman" w:hAnsi="Arial" w:cs="Arial"/>
          <w:lang w:val="ro-RO" w:eastAsia="zh-CN"/>
        </w:rPr>
        <w:t>Buteliile de hidrogen gazos comprimat și rezervoarele de stocare trebuie amplasate în exterior, la o distanță sigură de construcții, drumuri și guri de ventilație.</w:t>
      </w:r>
      <w:r w:rsidR="006A42B9">
        <w:rPr>
          <w:rFonts w:ascii="Arial" w:eastAsia="Times New Roman" w:hAnsi="Arial" w:cs="Arial"/>
          <w:lang w:val="ro-RO" w:eastAsia="zh-CN"/>
        </w:rPr>
        <w:t xml:space="preserve">  Trebuie depozitate în poziție</w:t>
      </w:r>
      <w:r w:rsidRPr="00DA1591">
        <w:rPr>
          <w:rFonts w:ascii="Arial" w:eastAsia="Times New Roman" w:hAnsi="Arial" w:cs="Arial"/>
          <w:lang w:val="ro-RO" w:eastAsia="zh-CN"/>
        </w:rPr>
        <w:t xml:space="preserve"> verticală, iar conținutul acestora trebuie marcat.  </w:t>
      </w:r>
    </w:p>
    <w:p w14:paraId="2BA1E968" w14:textId="77777777" w:rsidR="00DA1591" w:rsidRP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zh-CN"/>
        </w:rPr>
      </w:pPr>
      <w:r w:rsidRPr="00DA1591">
        <w:rPr>
          <w:rFonts w:ascii="Arial" w:eastAsia="Times New Roman" w:hAnsi="Arial" w:cs="Arial"/>
          <w:lang w:val="ro-RO" w:eastAsia="zh-CN"/>
        </w:rPr>
        <w:t>Hidrogenul în formă lichidă trebuie stocat în condiții criogenice, astfel încât este esențial să se cunoască riscurile aferente.   Trebuie stocat fie vertical, fie orizon</w:t>
      </w:r>
      <w:r w:rsidRPr="00DA1591">
        <w:rPr>
          <w:rFonts w:ascii="Arial" w:eastAsia="Times New Roman" w:hAnsi="Arial" w:cs="Arial"/>
          <w:lang w:val="ro-RO" w:eastAsia="zh-CN"/>
        </w:rPr>
        <w:t xml:space="preserve">tal în rezervoare cilindrice, iar pentru volume mai mari, în rezervoare sferice.  Aceste rezervoare de stocare sunt adesea vidate și prevăzute cu supapă de suprapresiune.  </w:t>
      </w:r>
    </w:p>
    <w:p w14:paraId="7D83FAEB" w14:textId="77777777" w:rsid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zh-CN"/>
        </w:rPr>
      </w:pPr>
    </w:p>
    <w:p w14:paraId="4B3DF5CB" w14:textId="77777777" w:rsid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zh-CN"/>
        </w:rPr>
      </w:pPr>
    </w:p>
    <w:p w14:paraId="230B404B" w14:textId="77777777" w:rsid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zh-CN"/>
        </w:rPr>
      </w:pPr>
    </w:p>
    <w:p w14:paraId="01AE4508" w14:textId="77777777" w:rsid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zh-CN"/>
        </w:rPr>
      </w:pPr>
    </w:p>
    <w:p w14:paraId="159AF7D6" w14:textId="77777777" w:rsid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zh-CN"/>
        </w:rPr>
      </w:pPr>
    </w:p>
    <w:p w14:paraId="75227B7F" w14:textId="77777777" w:rsid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zh-CN"/>
        </w:rPr>
      </w:pPr>
    </w:p>
    <w:p w14:paraId="46E8B52B" w14:textId="77777777" w:rsid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zh-CN"/>
        </w:rPr>
      </w:pPr>
    </w:p>
    <w:p w14:paraId="687AFA2D" w14:textId="44329649" w:rsidR="00DA1591" w:rsidRP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zh-CN"/>
        </w:rPr>
      </w:pPr>
      <w:r w:rsidRPr="00DA1591">
        <w:rPr>
          <w:rFonts w:ascii="Arial" w:eastAsia="Times New Roman" w:hAnsi="Arial" w:cs="Arial"/>
          <w:lang w:val="ro-RO" w:eastAsia="zh-CN"/>
        </w:rPr>
        <w:t xml:space="preserve">În general, personalul care lucrează cu hidrogenul în diversele sale forme trebuie să fie bine instruit în </w:t>
      </w:r>
      <w:r w:rsidR="00983F5B">
        <w:rPr>
          <w:rFonts w:ascii="Arial" w:eastAsia="Times New Roman" w:hAnsi="Arial" w:cs="Arial"/>
          <w:lang w:val="ro-RO" w:eastAsia="zh-CN"/>
        </w:rPr>
        <w:t>exploatarea</w:t>
      </w:r>
      <w:r w:rsidRPr="00DA1591">
        <w:rPr>
          <w:rFonts w:ascii="Arial" w:eastAsia="Times New Roman" w:hAnsi="Arial" w:cs="Arial"/>
          <w:lang w:val="ro-RO" w:eastAsia="zh-CN"/>
        </w:rPr>
        <w:t xml:space="preserve"> în siguranță în astfel de medii.  În plus, pentru a asigura siguranța personalului, trebuie </w:t>
      </w:r>
      <w:r>
        <w:rPr>
          <w:rFonts w:ascii="Arial" w:eastAsia="Times New Roman" w:hAnsi="Arial" w:cs="Arial"/>
          <w:lang w:val="ro-RO" w:eastAsia="zh-CN"/>
        </w:rPr>
        <w:t xml:space="preserve">să existe un plan de acțiune pentru situații </w:t>
      </w:r>
      <w:r w:rsidRPr="00DA1591">
        <w:rPr>
          <w:rFonts w:ascii="Arial" w:eastAsia="Times New Roman" w:hAnsi="Arial" w:cs="Arial"/>
          <w:lang w:val="ro-RO" w:eastAsia="zh-CN"/>
        </w:rPr>
        <w:t>de urgență c</w:t>
      </w:r>
      <w:r w:rsidRPr="00DA1591">
        <w:rPr>
          <w:rFonts w:ascii="Arial" w:eastAsia="Times New Roman" w:hAnsi="Arial" w:cs="Arial"/>
          <w:lang w:val="ro-RO" w:eastAsia="zh-CN"/>
        </w:rPr>
        <w:t>are să pre</w:t>
      </w:r>
      <w:r>
        <w:rPr>
          <w:rFonts w:ascii="Arial" w:eastAsia="Times New Roman" w:hAnsi="Arial" w:cs="Arial"/>
          <w:lang w:val="ro-RO" w:eastAsia="zh-CN"/>
        </w:rPr>
        <w:t>vadă proceduri pentru incidente.</w:t>
      </w:r>
      <w:bookmarkStart w:id="0" w:name="_GoBack"/>
      <w:bookmarkEnd w:id="0"/>
      <w:r w:rsidRPr="00DA1591">
        <w:rPr>
          <w:rFonts w:ascii="Arial" w:eastAsia="Times New Roman" w:hAnsi="Arial" w:cs="Arial"/>
          <w:lang w:val="ro-RO" w:eastAsia="zh-CN"/>
        </w:rPr>
        <w:t xml:space="preserve"> </w:t>
      </w:r>
    </w:p>
    <w:p w14:paraId="50DC7C18" w14:textId="77777777" w:rsidR="00DA1591" w:rsidRPr="00DA1591" w:rsidRDefault="00866BF4" w:rsidP="006A42B9">
      <w:pPr>
        <w:suppressAutoHyphens/>
        <w:spacing w:after="240" w:line="276" w:lineRule="auto"/>
        <w:rPr>
          <w:rFonts w:ascii="Arial" w:eastAsia="Times New Roman" w:hAnsi="Arial" w:cs="Arial"/>
          <w:lang w:val="en-GB" w:eastAsia="zh-CN"/>
        </w:rPr>
      </w:pPr>
      <w:r w:rsidRPr="00DA1591">
        <w:rPr>
          <w:rFonts w:ascii="Arial" w:eastAsia="Times New Roman" w:hAnsi="Arial" w:cs="Arial"/>
          <w:lang w:val="ro-RO" w:eastAsia="zh-CN"/>
        </w:rPr>
        <w:t>Un plan de acțiune trebuie să cuprindă minim următoarele:</w:t>
      </w:r>
    </w:p>
    <w:p w14:paraId="35918634" w14:textId="77777777" w:rsidR="00DA1591" w:rsidRPr="00DA1591" w:rsidRDefault="00866BF4" w:rsidP="006A42B9">
      <w:pPr>
        <w:numPr>
          <w:ilvl w:val="0"/>
          <w:numId w:val="1"/>
        </w:numPr>
        <w:suppressAutoHyphens/>
        <w:spacing w:after="240" w:line="276" w:lineRule="auto"/>
        <w:ind w:left="567" w:hanging="567"/>
        <w:contextualSpacing/>
        <w:rPr>
          <w:rFonts w:ascii="Arial" w:eastAsia="Times New Roman" w:hAnsi="Arial" w:cs="Arial"/>
          <w:lang w:val="en-GB" w:eastAsia="zh-CN"/>
        </w:rPr>
      </w:pPr>
      <w:r w:rsidRPr="00DA1591">
        <w:rPr>
          <w:rFonts w:ascii="Arial" w:eastAsia="Times New Roman" w:hAnsi="Arial" w:cs="Arial"/>
          <w:lang w:val="ro-RO" w:eastAsia="zh-CN"/>
        </w:rPr>
        <w:t xml:space="preserve">Proceduri de evacuare, rute de ieșire și rute pentru personalul non-responsiv. </w:t>
      </w:r>
    </w:p>
    <w:p w14:paraId="2AD6386E" w14:textId="77777777" w:rsidR="00DA1591" w:rsidRPr="00DA1591" w:rsidRDefault="00866BF4" w:rsidP="006A42B9">
      <w:pPr>
        <w:numPr>
          <w:ilvl w:val="0"/>
          <w:numId w:val="1"/>
        </w:numPr>
        <w:suppressAutoHyphens/>
        <w:spacing w:after="240" w:line="276" w:lineRule="auto"/>
        <w:ind w:left="567" w:hanging="567"/>
        <w:contextualSpacing/>
        <w:rPr>
          <w:rFonts w:ascii="Arial" w:eastAsia="Times New Roman" w:hAnsi="Arial" w:cs="Arial"/>
          <w:lang w:val="en-GB" w:eastAsia="zh-CN"/>
        </w:rPr>
      </w:pPr>
      <w:r w:rsidRPr="00DA1591">
        <w:rPr>
          <w:rFonts w:ascii="Arial" w:eastAsia="Times New Roman" w:hAnsi="Arial" w:cs="Arial"/>
          <w:lang w:val="ro-RO" w:eastAsia="zh-CN"/>
        </w:rPr>
        <w:t>Proceduri pentru muncitorii angajați în exploatarea echipamentelor critice</w:t>
      </w:r>
      <w:r w:rsidRPr="00DA1591">
        <w:rPr>
          <w:rFonts w:ascii="Arial" w:eastAsia="Times New Roman" w:hAnsi="Arial" w:cs="Arial"/>
          <w:lang w:val="ro-RO" w:eastAsia="zh-CN"/>
        </w:rPr>
        <w:t xml:space="preserve"> înainte de evacuare. </w:t>
      </w:r>
    </w:p>
    <w:p w14:paraId="773FAEFF" w14:textId="77777777" w:rsidR="00DA1591" w:rsidRPr="00DA1591" w:rsidRDefault="00866BF4" w:rsidP="006A42B9">
      <w:pPr>
        <w:numPr>
          <w:ilvl w:val="0"/>
          <w:numId w:val="1"/>
        </w:numPr>
        <w:suppressAutoHyphens/>
        <w:spacing w:after="240" w:line="276" w:lineRule="auto"/>
        <w:ind w:left="567" w:hanging="567"/>
        <w:contextualSpacing/>
        <w:rPr>
          <w:rFonts w:ascii="Arial" w:eastAsia="Times New Roman" w:hAnsi="Arial" w:cs="Arial"/>
          <w:lang w:val="en-GB" w:eastAsia="zh-CN"/>
        </w:rPr>
      </w:pPr>
      <w:r w:rsidRPr="00DA1591">
        <w:rPr>
          <w:rFonts w:ascii="Arial" w:eastAsia="Times New Roman" w:hAnsi="Arial" w:cs="Arial"/>
          <w:lang w:val="ro-RO" w:eastAsia="zh-CN"/>
        </w:rPr>
        <w:t xml:space="preserve">Proceduri pentru întregul personal după ce evacuarea de urgență este finalizată. </w:t>
      </w:r>
    </w:p>
    <w:p w14:paraId="61296113" w14:textId="77777777" w:rsidR="00DA1591" w:rsidRPr="00DA1591" w:rsidRDefault="00866BF4" w:rsidP="006A42B9">
      <w:pPr>
        <w:numPr>
          <w:ilvl w:val="0"/>
          <w:numId w:val="1"/>
        </w:numPr>
        <w:suppressAutoHyphens/>
        <w:spacing w:after="240" w:line="276" w:lineRule="auto"/>
        <w:ind w:left="567" w:hanging="567"/>
        <w:contextualSpacing/>
        <w:rPr>
          <w:rFonts w:ascii="Arial" w:eastAsia="Times New Roman" w:hAnsi="Arial" w:cs="Arial"/>
          <w:lang w:val="en-GB" w:eastAsia="zh-CN"/>
        </w:rPr>
      </w:pPr>
      <w:r w:rsidRPr="00DA1591">
        <w:rPr>
          <w:rFonts w:ascii="Arial" w:eastAsia="Times New Roman" w:hAnsi="Arial" w:cs="Arial"/>
          <w:lang w:val="ro-RO" w:eastAsia="zh-CN"/>
        </w:rPr>
        <w:t xml:space="preserve">Proceduri pentru personalul responsabil cu operațunile de salvare și primul ajutor. </w:t>
      </w:r>
    </w:p>
    <w:p w14:paraId="0B7DFA3C" w14:textId="77777777" w:rsidR="00DA1591" w:rsidRPr="00DA1591" w:rsidRDefault="00866BF4" w:rsidP="006A42B9">
      <w:pPr>
        <w:numPr>
          <w:ilvl w:val="0"/>
          <w:numId w:val="1"/>
        </w:numPr>
        <w:suppressAutoHyphens/>
        <w:spacing w:after="240" w:line="276" w:lineRule="auto"/>
        <w:ind w:left="567" w:hanging="567"/>
        <w:contextualSpacing/>
        <w:rPr>
          <w:rFonts w:ascii="Arial" w:eastAsia="Times New Roman" w:hAnsi="Arial" w:cs="Arial"/>
          <w:lang w:val="en-GB" w:eastAsia="zh-CN"/>
        </w:rPr>
      </w:pPr>
      <w:r w:rsidRPr="00DA1591">
        <w:rPr>
          <w:rFonts w:ascii="Arial" w:eastAsia="Times New Roman" w:hAnsi="Arial" w:cs="Arial"/>
          <w:lang w:val="ro-RO" w:eastAsia="zh-CN"/>
        </w:rPr>
        <w:t xml:space="preserve">Modalități de raportare a incidentelor și a situațiilor de urgență, inclusiv numere de contact în caz de urgență. </w:t>
      </w:r>
    </w:p>
    <w:p w14:paraId="7AF58B96" w14:textId="77777777" w:rsidR="00DA1591" w:rsidRPr="00DA1591" w:rsidRDefault="00866BF4" w:rsidP="006A42B9">
      <w:pPr>
        <w:numPr>
          <w:ilvl w:val="0"/>
          <w:numId w:val="1"/>
        </w:numPr>
        <w:suppressAutoHyphens/>
        <w:spacing w:after="240" w:line="276" w:lineRule="auto"/>
        <w:ind w:left="567" w:hanging="567"/>
        <w:contextualSpacing/>
        <w:rPr>
          <w:rFonts w:ascii="Arial" w:eastAsia="Times New Roman" w:hAnsi="Arial" w:cs="Arial"/>
          <w:lang w:val="en-GB" w:eastAsia="zh-CN"/>
        </w:rPr>
      </w:pPr>
      <w:r w:rsidRPr="00DA1591">
        <w:rPr>
          <w:rFonts w:ascii="Arial" w:eastAsia="Times New Roman" w:hAnsi="Arial" w:cs="Arial"/>
          <w:lang w:val="ro-RO" w:eastAsia="zh-CN"/>
        </w:rPr>
        <w:t>Informații de contact pentru persoanele responsabile cu furnizarea de informații suplimentare și cu explicarea procedurilor prevăzute în plan</w:t>
      </w:r>
      <w:r w:rsidRPr="00DA1591">
        <w:rPr>
          <w:rFonts w:ascii="Arial" w:eastAsia="Times New Roman" w:hAnsi="Arial" w:cs="Arial"/>
          <w:lang w:val="ro-RO" w:eastAsia="zh-CN"/>
        </w:rPr>
        <w:t xml:space="preserve">ul de acțiune. </w:t>
      </w:r>
    </w:p>
    <w:p w14:paraId="38F8F7BF" w14:textId="77777777" w:rsidR="00DA1591" w:rsidRPr="00DA1591" w:rsidRDefault="00866BF4" w:rsidP="006A42B9">
      <w:pPr>
        <w:rPr>
          <w:rFonts w:ascii="Arial" w:hAnsi="Arial" w:cs="Arial"/>
          <w:noProof/>
          <w:lang w:eastAsia="el-GR"/>
        </w:rPr>
      </w:pPr>
    </w:p>
    <w:p w14:paraId="424536C6" w14:textId="77777777" w:rsidR="00DA1591" w:rsidRPr="00DA1591" w:rsidRDefault="00866BF4" w:rsidP="006A42B9">
      <w:pPr>
        <w:rPr>
          <w:rFonts w:ascii="Arial" w:hAnsi="Arial" w:cs="Arial"/>
        </w:rPr>
      </w:pPr>
    </w:p>
    <w:p w14:paraId="74532258" w14:textId="77777777" w:rsidR="00DA1591" w:rsidRPr="00DA1591" w:rsidRDefault="00866BF4" w:rsidP="00DA1591">
      <w:pPr>
        <w:rPr>
          <w:rFonts w:ascii="Arial" w:hAnsi="Arial" w:cs="Arial"/>
        </w:rPr>
      </w:pPr>
    </w:p>
    <w:p w14:paraId="345970B2" w14:textId="77777777" w:rsidR="00DA1591" w:rsidRPr="00DA1591" w:rsidRDefault="00866BF4" w:rsidP="00DA1591">
      <w:pPr>
        <w:rPr>
          <w:rFonts w:ascii="Arial" w:hAnsi="Arial" w:cs="Arial"/>
        </w:rPr>
      </w:pPr>
    </w:p>
    <w:p w14:paraId="664537B3" w14:textId="77777777" w:rsidR="00B35F52" w:rsidRPr="00DA1591" w:rsidRDefault="00866BF4" w:rsidP="003E77BA">
      <w:pPr>
        <w:tabs>
          <w:tab w:val="left" w:pos="2346"/>
        </w:tabs>
        <w:spacing w:before="240"/>
        <w:rPr>
          <w:rFonts w:ascii="Arial" w:hAnsi="Arial" w:cs="Arial"/>
        </w:rPr>
      </w:pPr>
    </w:p>
    <w:sectPr w:rsidR="00B35F52" w:rsidRPr="00DA1591" w:rsidSect="009B5CC9">
      <w:headerReference w:type="even" r:id="rId9"/>
      <w:headerReference w:type="default" r:id="rId10"/>
      <w:headerReference w:type="firs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854EF" w14:textId="77777777" w:rsidR="00000000" w:rsidRDefault="00866BF4">
      <w:r>
        <w:separator/>
      </w:r>
    </w:p>
  </w:endnote>
  <w:endnote w:type="continuationSeparator" w:id="0">
    <w:p w14:paraId="33EA43C2" w14:textId="77777777" w:rsidR="00000000" w:rsidRDefault="0086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6C278" w14:textId="77777777" w:rsidR="00000000" w:rsidRDefault="00866BF4">
      <w:r>
        <w:separator/>
      </w:r>
    </w:p>
  </w:footnote>
  <w:footnote w:type="continuationSeparator" w:id="0">
    <w:p w14:paraId="1534175E" w14:textId="77777777" w:rsidR="00000000" w:rsidRDefault="00866B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54E5145" w14:textId="77777777" w:rsidR="003E77BA" w:rsidRDefault="00866BF4">
    <w:pPr>
      <w:pStyle w:val="Header"/>
    </w:pPr>
    <w:r>
      <w:rPr>
        <w:noProof/>
      </w:rPr>
      <w:pict w14:anchorId="1D9C8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0858" o:spid="_x0000_s2049" type="#_x0000_t75" alt="/Martin's Work/Martin's Current Work/20375 _SciEng_Hyschool A4 Word Letterhead template/20375_SCI_Hyschool A4 letterhead.jpg" style="position:absolute;margin-left:0;margin-top:0;width:620pt;height:87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375_SCI_Hyschool A4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0AA4C13" w14:textId="77777777" w:rsidR="003E77BA" w:rsidRDefault="00866BF4">
    <w:pPr>
      <w:pStyle w:val="Header"/>
    </w:pPr>
    <w:r>
      <w:rPr>
        <w:noProof/>
      </w:rPr>
      <w:pict w14:anchorId="197858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0859" o:spid="_x0000_s2050" type="#_x0000_t75" alt="/Martin's Work/Martin's Current Work/20375 _SciEng_Hyschool A4 Word Letterhead template/20375_SCI_Hyschool A4 letterhead.jpg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375_SCI_Hyschool A4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41B4EBC" w14:textId="77777777" w:rsidR="003E77BA" w:rsidRDefault="00866BF4">
    <w:pPr>
      <w:pStyle w:val="Header"/>
    </w:pPr>
    <w:r>
      <w:rPr>
        <w:noProof/>
      </w:rPr>
      <w:pict w14:anchorId="38DCE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80857" o:spid="_x0000_s2051" type="#_x0000_t75" alt="/Martin's Work/Martin's Current Work/20375 _SciEng_Hyschool A4 Word Letterhead template/20375_SCI_Hyschool A4 letterhead.jpg" style="position:absolute;margin-left:0;margin-top:0;width:620pt;height:87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375_SCI_Hyschool A4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5F4"/>
    <w:multiLevelType w:val="hybridMultilevel"/>
    <w:tmpl w:val="DFB498AA"/>
    <w:lvl w:ilvl="0" w:tplc="3D789B9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ACC4798E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B7583848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A35EDA82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561BF0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57C2674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9D2E7EC2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79209FA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812AD9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B9"/>
    <w:rsid w:val="006A42B9"/>
    <w:rsid w:val="00866BF4"/>
    <w:rsid w:val="0098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E00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7BA"/>
  </w:style>
  <w:style w:type="paragraph" w:styleId="Footer">
    <w:name w:val="footer"/>
    <w:basedOn w:val="Normal"/>
    <w:link w:val="FooterChar"/>
    <w:uiPriority w:val="99"/>
    <w:unhideWhenUsed/>
    <w:rsid w:val="003E7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7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7BA"/>
  </w:style>
  <w:style w:type="paragraph" w:styleId="Footer">
    <w:name w:val="footer"/>
    <w:basedOn w:val="Normal"/>
    <w:link w:val="FooterChar"/>
    <w:uiPriority w:val="99"/>
    <w:unhideWhenUsed/>
    <w:rsid w:val="003E7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4E4368-2E0A-5746-B3D8-937B0510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Daniela Bazarea</cp:lastModifiedBy>
  <cp:revision>5</cp:revision>
  <dcterms:created xsi:type="dcterms:W3CDTF">2019-07-08T14:08:00Z</dcterms:created>
  <dcterms:modified xsi:type="dcterms:W3CDTF">2019-12-05T14:51:00Z</dcterms:modified>
</cp:coreProperties>
</file>